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36" w:rsidRDefault="00447436">
      <w:pPr>
        <w:widowControl w:val="0"/>
        <w:autoSpaceDE w:val="0"/>
        <w:autoSpaceDN w:val="0"/>
        <w:adjustRightInd w:val="0"/>
        <w:spacing w:before="100" w:after="10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Внесены изменения в Правила возврата превышения НДС</w:t>
      </w:r>
    </w:p>
    <w:p w:rsidR="00447436" w:rsidRDefault="00447436">
      <w:pPr>
        <w:widowControl w:val="0"/>
        <w:tabs>
          <w:tab w:val="left" w:pos="3465"/>
        </w:tabs>
        <w:autoSpaceDE w:val="0"/>
        <w:autoSpaceDN w:val="0"/>
        <w:adjustRightInd w:val="0"/>
        <w:spacing w:before="100" w:after="100" w:line="240" w:lineRule="auto"/>
        <w:rPr>
          <w:rFonts w:ascii="Times New Roman CYR" w:hAnsi="Times New Roman CYR" w:cs="Times New Roman CYR"/>
          <w:i/>
          <w:iCs/>
          <w:sz w:val="24"/>
          <w:szCs w:val="24"/>
        </w:rPr>
      </w:pPr>
    </w:p>
    <w:p w:rsidR="00447436" w:rsidRDefault="00447436" w:rsidP="005C23C5">
      <w:pPr>
        <w:widowControl w:val="0"/>
        <w:autoSpaceDE w:val="0"/>
        <w:autoSpaceDN w:val="0"/>
        <w:adjustRightInd w:val="0"/>
        <w:spacing w:before="100" w:after="100" w:line="24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Основные изменения в правилах коснулись внедрения системы управления рисками при упрощенном возврате НДС, что исключит возможность возврата превышения НДС, образованного в результате применения серых схем. </w:t>
      </w:r>
    </w:p>
    <w:p w:rsidR="00447436" w:rsidRDefault="00447436" w:rsidP="005C23C5">
      <w:pPr>
        <w:widowControl w:val="0"/>
        <w:autoSpaceDE w:val="0"/>
        <w:autoSpaceDN w:val="0"/>
        <w:adjustRightInd w:val="0"/>
        <w:spacing w:before="100"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Ранее, в средствах массовой информации была опубликована информация о том, что новые правила возврата превышения НДС приняты без обсуждения с </w:t>
      </w:r>
      <w:proofErr w:type="gramStart"/>
      <w:r>
        <w:rPr>
          <w:rFonts w:ascii="Times New Roman CYR" w:hAnsi="Times New Roman CYR" w:cs="Times New Roman CYR"/>
          <w:sz w:val="24"/>
          <w:szCs w:val="24"/>
        </w:rPr>
        <w:t>бизнес-сообществом</w:t>
      </w:r>
      <w:proofErr w:type="gramEnd"/>
      <w:r>
        <w:rPr>
          <w:rFonts w:ascii="Times New Roman CYR" w:hAnsi="Times New Roman CYR" w:cs="Times New Roman CYR"/>
          <w:sz w:val="24"/>
          <w:szCs w:val="24"/>
        </w:rPr>
        <w:t xml:space="preserve"> и противоречат нормам Налогового кодекса. В данном материале отмечено, что налогоплательщики теряют право на упрощенный порядок возврата превышения по НДС.</w:t>
      </w:r>
    </w:p>
    <w:p w:rsidR="00447436" w:rsidRDefault="00447436" w:rsidP="005C23C5">
      <w:pPr>
        <w:widowControl w:val="0"/>
        <w:autoSpaceDE w:val="0"/>
        <w:autoSpaceDN w:val="0"/>
        <w:adjustRightInd w:val="0"/>
        <w:spacing w:before="100"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Министерстве финансов отметили, что новые правила разработаны в соответствии со статьями 136 и 429 Налогового кодекса, и регулируют взаимоотношения с бюджетом по возврату НДС экспортерам и другим категориям налогоплательщиков. Изменения вступили в силу с 14 апреля 2022 года </w:t>
      </w:r>
      <w:r>
        <w:rPr>
          <w:rFonts w:ascii="Times New Roman CYR" w:hAnsi="Times New Roman CYR" w:cs="Times New Roman CYR"/>
          <w:i/>
          <w:iCs/>
          <w:sz w:val="24"/>
          <w:szCs w:val="24"/>
        </w:rPr>
        <w:t>(приказ Министра финансов Республики Казахстан от 19 марта 2018 года № 391 «Об утверждении Правил возврата превышения налога на добавленную стоимость»)</w:t>
      </w:r>
      <w:r>
        <w:rPr>
          <w:rFonts w:ascii="Times New Roman CYR" w:hAnsi="Times New Roman CYR" w:cs="Times New Roman CYR"/>
          <w:sz w:val="24"/>
          <w:szCs w:val="24"/>
        </w:rPr>
        <w:t>.</w:t>
      </w:r>
    </w:p>
    <w:p w:rsidR="00447436" w:rsidRDefault="00447436" w:rsidP="005C23C5">
      <w:pPr>
        <w:widowControl w:val="0"/>
        <w:autoSpaceDE w:val="0"/>
        <w:autoSpaceDN w:val="0"/>
        <w:adjustRightInd w:val="0"/>
        <w:spacing w:before="100"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разработке акта учтены замечания, предложения и рекомендации </w:t>
      </w:r>
      <w:proofErr w:type="gramStart"/>
      <w:r>
        <w:rPr>
          <w:rFonts w:ascii="Times New Roman CYR" w:hAnsi="Times New Roman CYR" w:cs="Times New Roman CYR"/>
          <w:sz w:val="24"/>
          <w:szCs w:val="24"/>
        </w:rPr>
        <w:t>бизнес-сообщества</w:t>
      </w:r>
      <w:proofErr w:type="gramEnd"/>
      <w:r>
        <w:rPr>
          <w:rFonts w:ascii="Times New Roman CYR" w:hAnsi="Times New Roman CYR" w:cs="Times New Roman CYR"/>
          <w:sz w:val="24"/>
          <w:szCs w:val="24"/>
        </w:rPr>
        <w:t>. Проект приказа был размещен на сайте legalacts.egov.kz для публичного обсуждения с 25 января 2022 года по 8 февраля 2022 года. На все замечания и предложения были предоставлены ответы с обоснованиями. Соответственно, соблюдены все процедуры и сроки внесения изменений в нормативные правовые акты.</w:t>
      </w:r>
    </w:p>
    <w:p w:rsidR="00447436" w:rsidRDefault="00447436" w:rsidP="005C23C5">
      <w:pPr>
        <w:widowControl w:val="0"/>
        <w:autoSpaceDE w:val="0"/>
        <w:autoSpaceDN w:val="0"/>
        <w:adjustRightInd w:val="0"/>
        <w:spacing w:before="100"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Согласно новым правилам теперь в ходе проверок будет проводиться анализ взаиморасчетов с поставщиками через взаимосвязанные стороны, что исключит возможность возврата превышения НДС, образованного в результате применения серых схем.</w:t>
      </w:r>
    </w:p>
    <w:p w:rsidR="00447436" w:rsidRDefault="00447436" w:rsidP="005C23C5">
      <w:pPr>
        <w:widowControl w:val="0"/>
        <w:autoSpaceDE w:val="0"/>
        <w:autoSpaceDN w:val="0"/>
        <w:adjustRightInd w:val="0"/>
        <w:spacing w:before="100"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Также </w:t>
      </w:r>
      <w:proofErr w:type="gramStart"/>
      <w:r>
        <w:rPr>
          <w:rFonts w:ascii="Times New Roman CYR" w:hAnsi="Times New Roman CYR" w:cs="Times New Roman CYR"/>
          <w:sz w:val="24"/>
          <w:szCs w:val="24"/>
        </w:rPr>
        <w:t>исходя из практического опыта проверок, в правила</w:t>
      </w:r>
      <w:proofErr w:type="gramEnd"/>
      <w:r>
        <w:rPr>
          <w:rFonts w:ascii="Times New Roman CYR" w:hAnsi="Times New Roman CYR" w:cs="Times New Roman CYR"/>
          <w:sz w:val="24"/>
          <w:szCs w:val="24"/>
        </w:rPr>
        <w:t xml:space="preserve"> введены математические формулы расчета вместо текстовых формулировок. Формулы способствуют внедрению единообразной практики применения норм законодательства и исключают риск неверного определения суммы и субъективную оценку проверяющего.</w:t>
      </w:r>
    </w:p>
    <w:p w:rsidR="00447436" w:rsidRDefault="00447436" w:rsidP="005C23C5">
      <w:pPr>
        <w:widowControl w:val="0"/>
        <w:autoSpaceDE w:val="0"/>
        <w:autoSpaceDN w:val="0"/>
        <w:adjustRightInd w:val="0"/>
        <w:spacing w:before="100"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Кроме того, ранее действовавшие 15 отрицательных критериев сокращены до 12, а также дополнительно введены 12 положительных критериев, которые направлены на поддержку добросовестных производителей. Также, усовершенствован порядок расчета критериев, если ранее отрицательные баллы присваивались за сам факт риска, то по новым правилам баллы присваиваются по масштабу риска.   </w:t>
      </w:r>
    </w:p>
    <w:p w:rsidR="00447436" w:rsidRDefault="00447436" w:rsidP="005C23C5">
      <w:pPr>
        <w:widowControl w:val="0"/>
        <w:autoSpaceDE w:val="0"/>
        <w:autoSpaceDN w:val="0"/>
        <w:adjustRightInd w:val="0"/>
        <w:spacing w:before="100"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Таким образом, в Министерстве уверены, что новые правила будут стимулировать добросовестных предприятий-производителей с положительной налоговой историей и способствовать созданию равных условий для всех участников бизнеса.</w:t>
      </w:r>
    </w:p>
    <w:p w:rsidR="00447436" w:rsidRDefault="00447436" w:rsidP="005C23C5">
      <w:pPr>
        <w:widowControl w:val="0"/>
        <w:autoSpaceDE w:val="0"/>
        <w:autoSpaceDN w:val="0"/>
        <w:adjustRightInd w:val="0"/>
        <w:spacing w:before="100"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sz w:val="24"/>
          <w:szCs w:val="24"/>
        </w:rPr>
        <w:tab/>
      </w:r>
    </w:p>
    <w:p w:rsidR="00447436" w:rsidRPr="00225005" w:rsidRDefault="00447436" w:rsidP="005C23C5">
      <w:pPr>
        <w:widowControl w:val="0"/>
        <w:autoSpaceDE w:val="0"/>
        <w:autoSpaceDN w:val="0"/>
        <w:adjustRightInd w:val="0"/>
        <w:spacing w:before="100" w:after="100" w:line="240" w:lineRule="auto"/>
        <w:jc w:val="both"/>
        <w:rPr>
          <w:rFonts w:ascii="Times New Roman CYR" w:hAnsi="Times New Roman CYR" w:cs="Times New Roman CYR"/>
          <w:sz w:val="24"/>
          <w:szCs w:val="24"/>
        </w:rPr>
      </w:pPr>
    </w:p>
    <w:p w:rsidR="00225005" w:rsidRDefault="00225005" w:rsidP="005C23C5">
      <w:pPr>
        <w:widowControl w:val="0"/>
        <w:autoSpaceDE w:val="0"/>
        <w:autoSpaceDN w:val="0"/>
        <w:adjustRightInd w:val="0"/>
        <w:spacing w:before="100" w:after="100" w:line="240" w:lineRule="auto"/>
        <w:jc w:val="both"/>
        <w:rPr>
          <w:rFonts w:ascii="Times New Roman CYR" w:hAnsi="Times New Roman CYR" w:cs="Times New Roman CYR"/>
          <w:sz w:val="24"/>
          <w:szCs w:val="24"/>
          <w:lang w:val="en-US"/>
        </w:rPr>
      </w:pPr>
    </w:p>
    <w:p w:rsidR="00225005" w:rsidRDefault="00225005" w:rsidP="005C23C5">
      <w:pPr>
        <w:widowControl w:val="0"/>
        <w:autoSpaceDE w:val="0"/>
        <w:autoSpaceDN w:val="0"/>
        <w:adjustRightInd w:val="0"/>
        <w:spacing w:before="100" w:after="100" w:line="240" w:lineRule="auto"/>
        <w:jc w:val="both"/>
        <w:rPr>
          <w:rFonts w:ascii="Times New Roman CYR" w:hAnsi="Times New Roman CYR" w:cs="Times New Roman CYR"/>
          <w:sz w:val="24"/>
          <w:szCs w:val="24"/>
          <w:lang w:val="en-US"/>
        </w:rPr>
      </w:pPr>
    </w:p>
    <w:p w:rsidR="00225005" w:rsidRDefault="00225005" w:rsidP="005C23C5">
      <w:pPr>
        <w:widowControl w:val="0"/>
        <w:autoSpaceDE w:val="0"/>
        <w:autoSpaceDN w:val="0"/>
        <w:adjustRightInd w:val="0"/>
        <w:spacing w:before="100" w:after="100" w:line="240" w:lineRule="auto"/>
        <w:jc w:val="both"/>
        <w:rPr>
          <w:rFonts w:ascii="Times New Roman CYR" w:hAnsi="Times New Roman CYR" w:cs="Times New Roman CYR"/>
          <w:sz w:val="24"/>
          <w:szCs w:val="24"/>
          <w:lang w:val="en-US"/>
        </w:rPr>
      </w:pPr>
    </w:p>
    <w:p w:rsidR="00225005" w:rsidRPr="00225005" w:rsidRDefault="00225005" w:rsidP="005C23C5">
      <w:pPr>
        <w:widowControl w:val="0"/>
        <w:autoSpaceDE w:val="0"/>
        <w:autoSpaceDN w:val="0"/>
        <w:adjustRightInd w:val="0"/>
        <w:spacing w:before="100" w:after="100" w:line="240" w:lineRule="auto"/>
        <w:jc w:val="both"/>
        <w:rPr>
          <w:rFonts w:ascii="Times New Roman CYR" w:hAnsi="Times New Roman CYR" w:cs="Times New Roman CYR"/>
          <w:sz w:val="24"/>
          <w:szCs w:val="24"/>
          <w:lang w:val="en-US"/>
        </w:rPr>
      </w:pPr>
    </w:p>
    <w:p w:rsidR="00447436" w:rsidRDefault="00447436" w:rsidP="005C23C5">
      <w:pPr>
        <w:widowControl w:val="0"/>
        <w:autoSpaceDE w:val="0"/>
        <w:autoSpaceDN w:val="0"/>
        <w:adjustRightInd w:val="0"/>
        <w:spacing w:before="100" w:after="100" w:line="240" w:lineRule="auto"/>
        <w:jc w:val="both"/>
        <w:rPr>
          <w:rFonts w:ascii="Times New Roman CYR" w:hAnsi="Times New Roman CYR" w:cs="Times New Roman CYR"/>
          <w:sz w:val="24"/>
          <w:szCs w:val="24"/>
        </w:rPr>
      </w:pPr>
    </w:p>
    <w:p w:rsidR="00447436" w:rsidRDefault="00225005" w:rsidP="00225005">
      <w:pPr>
        <w:widowControl w:val="0"/>
        <w:tabs>
          <w:tab w:val="left" w:pos="5205"/>
        </w:tabs>
        <w:autoSpaceDE w:val="0"/>
        <w:autoSpaceDN w:val="0"/>
        <w:adjustRightInd w:val="0"/>
        <w:spacing w:before="100" w:after="100" w:line="240" w:lineRule="auto"/>
        <w:jc w:val="center"/>
        <w:rPr>
          <w:rFonts w:ascii="Times New Roman CYR" w:hAnsi="Times New Roman CYR" w:cs="Times New Roman CYR"/>
          <w:b/>
          <w:bCs/>
          <w:sz w:val="24"/>
          <w:szCs w:val="24"/>
          <w:lang w:val="en-US"/>
        </w:rPr>
      </w:pPr>
      <w:r w:rsidRPr="00225005">
        <w:rPr>
          <w:rFonts w:ascii="Times New Roman CYR" w:hAnsi="Times New Roman CYR" w:cs="Times New Roman CYR"/>
          <w:b/>
          <w:bCs/>
          <w:sz w:val="24"/>
          <w:szCs w:val="24"/>
        </w:rPr>
        <w:lastRenderedPageBreak/>
        <w:t xml:space="preserve">ҚҚС </w:t>
      </w:r>
      <w:proofErr w:type="spellStart"/>
      <w:r w:rsidRPr="00225005">
        <w:rPr>
          <w:rFonts w:ascii="Times New Roman CYR" w:hAnsi="Times New Roman CYR" w:cs="Times New Roman CYR"/>
          <w:b/>
          <w:bCs/>
          <w:sz w:val="24"/>
          <w:szCs w:val="24"/>
        </w:rPr>
        <w:t>асып</w:t>
      </w:r>
      <w:proofErr w:type="spellEnd"/>
      <w:r w:rsidRPr="00225005">
        <w:rPr>
          <w:rFonts w:ascii="Times New Roman CYR" w:hAnsi="Times New Roman CYR" w:cs="Times New Roman CYR"/>
          <w:b/>
          <w:bCs/>
          <w:sz w:val="24"/>
          <w:szCs w:val="24"/>
        </w:rPr>
        <w:t xml:space="preserve"> </w:t>
      </w:r>
      <w:proofErr w:type="spellStart"/>
      <w:r w:rsidRPr="00225005">
        <w:rPr>
          <w:rFonts w:ascii="Times New Roman CYR" w:hAnsi="Times New Roman CYR" w:cs="Times New Roman CYR"/>
          <w:b/>
          <w:bCs/>
          <w:sz w:val="24"/>
          <w:szCs w:val="24"/>
        </w:rPr>
        <w:t>кетуін</w:t>
      </w:r>
      <w:proofErr w:type="spellEnd"/>
      <w:r w:rsidRPr="00225005">
        <w:rPr>
          <w:rFonts w:ascii="Times New Roman CYR" w:hAnsi="Times New Roman CYR" w:cs="Times New Roman CYR"/>
          <w:b/>
          <w:bCs/>
          <w:sz w:val="24"/>
          <w:szCs w:val="24"/>
        </w:rPr>
        <w:t xml:space="preserve"> </w:t>
      </w:r>
      <w:proofErr w:type="spellStart"/>
      <w:r w:rsidRPr="00225005">
        <w:rPr>
          <w:rFonts w:ascii="Times New Roman CYR" w:hAnsi="Times New Roman CYR" w:cs="Times New Roman CYR"/>
          <w:b/>
          <w:bCs/>
          <w:sz w:val="24"/>
          <w:szCs w:val="24"/>
        </w:rPr>
        <w:t>қайтару</w:t>
      </w:r>
      <w:proofErr w:type="spellEnd"/>
      <w:r w:rsidRPr="00225005">
        <w:rPr>
          <w:rFonts w:ascii="Times New Roman CYR" w:hAnsi="Times New Roman CYR" w:cs="Times New Roman CYR"/>
          <w:b/>
          <w:bCs/>
          <w:sz w:val="24"/>
          <w:szCs w:val="24"/>
        </w:rPr>
        <w:t xml:space="preserve"> </w:t>
      </w:r>
      <w:proofErr w:type="spellStart"/>
      <w:r w:rsidRPr="00225005">
        <w:rPr>
          <w:rFonts w:ascii="Times New Roman CYR" w:hAnsi="Times New Roman CYR" w:cs="Times New Roman CYR"/>
          <w:b/>
          <w:bCs/>
          <w:sz w:val="24"/>
          <w:szCs w:val="24"/>
        </w:rPr>
        <w:t>ережелеріне</w:t>
      </w:r>
      <w:proofErr w:type="spellEnd"/>
      <w:r w:rsidRPr="00225005">
        <w:rPr>
          <w:rFonts w:ascii="Times New Roman CYR" w:hAnsi="Times New Roman CYR" w:cs="Times New Roman CYR"/>
          <w:b/>
          <w:bCs/>
          <w:sz w:val="24"/>
          <w:szCs w:val="24"/>
        </w:rPr>
        <w:t xml:space="preserve"> </w:t>
      </w:r>
      <w:proofErr w:type="spellStart"/>
      <w:r w:rsidRPr="00225005">
        <w:rPr>
          <w:rFonts w:ascii="Times New Roman CYR" w:hAnsi="Times New Roman CYR" w:cs="Times New Roman CYR"/>
          <w:b/>
          <w:bCs/>
          <w:sz w:val="24"/>
          <w:szCs w:val="24"/>
        </w:rPr>
        <w:t>өзгерістер</w:t>
      </w:r>
      <w:proofErr w:type="spellEnd"/>
      <w:r w:rsidRPr="00225005">
        <w:rPr>
          <w:rFonts w:ascii="Times New Roman CYR" w:hAnsi="Times New Roman CYR" w:cs="Times New Roman CYR"/>
          <w:b/>
          <w:bCs/>
          <w:sz w:val="24"/>
          <w:szCs w:val="24"/>
        </w:rPr>
        <w:t xml:space="preserve"> </w:t>
      </w:r>
      <w:proofErr w:type="spellStart"/>
      <w:r w:rsidRPr="00225005">
        <w:rPr>
          <w:rFonts w:ascii="Times New Roman CYR" w:hAnsi="Times New Roman CYR" w:cs="Times New Roman CYR"/>
          <w:b/>
          <w:bCs/>
          <w:sz w:val="24"/>
          <w:szCs w:val="24"/>
        </w:rPr>
        <w:t>енгізілді</w:t>
      </w:r>
      <w:proofErr w:type="spellEnd"/>
    </w:p>
    <w:p w:rsidR="00225005" w:rsidRPr="00225005" w:rsidRDefault="00225005" w:rsidP="00225005">
      <w:pPr>
        <w:widowControl w:val="0"/>
        <w:tabs>
          <w:tab w:val="left" w:pos="5205"/>
        </w:tabs>
        <w:autoSpaceDE w:val="0"/>
        <w:autoSpaceDN w:val="0"/>
        <w:adjustRightInd w:val="0"/>
        <w:spacing w:before="100" w:after="100" w:line="240" w:lineRule="auto"/>
        <w:jc w:val="center"/>
        <w:rPr>
          <w:rFonts w:ascii="Times New Roman CYR" w:hAnsi="Times New Roman CYR" w:cs="Times New Roman CYR"/>
          <w:i/>
          <w:iCs/>
          <w:sz w:val="24"/>
          <w:szCs w:val="24"/>
          <w:lang w:val="en-US"/>
        </w:rPr>
      </w:pPr>
    </w:p>
    <w:p w:rsidR="00225005" w:rsidRPr="00225005" w:rsidRDefault="00225005" w:rsidP="005C23C5">
      <w:pPr>
        <w:widowControl w:val="0"/>
        <w:autoSpaceDE w:val="0"/>
        <w:autoSpaceDN w:val="0"/>
        <w:adjustRightInd w:val="0"/>
        <w:spacing w:before="100" w:after="100" w:line="240" w:lineRule="auto"/>
        <w:ind w:firstLine="708"/>
        <w:jc w:val="both"/>
        <w:rPr>
          <w:rFonts w:ascii="Times New Roman CYR" w:hAnsi="Times New Roman CYR" w:cs="Times New Roman CYR"/>
          <w:i/>
          <w:iCs/>
          <w:sz w:val="24"/>
          <w:szCs w:val="24"/>
          <w:lang w:val="en-US"/>
        </w:rPr>
      </w:pPr>
      <w:proofErr w:type="spellStart"/>
      <w:proofErr w:type="gramStart"/>
      <w:r w:rsidRPr="00225005">
        <w:rPr>
          <w:rFonts w:ascii="Times New Roman CYR" w:hAnsi="Times New Roman CYR" w:cs="Times New Roman CYR"/>
          <w:i/>
          <w:iCs/>
          <w:sz w:val="24"/>
          <w:szCs w:val="24"/>
          <w:lang w:val="en-US"/>
        </w:rPr>
        <w:t>Ережелердегі</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негізгі</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өзгерістер</w:t>
      </w:r>
      <w:proofErr w:type="spellEnd"/>
      <w:r w:rsidRPr="00225005">
        <w:rPr>
          <w:rFonts w:ascii="Times New Roman CYR" w:hAnsi="Times New Roman CYR" w:cs="Times New Roman CYR"/>
          <w:i/>
          <w:iCs/>
          <w:sz w:val="24"/>
          <w:szCs w:val="24"/>
          <w:lang w:val="en-US"/>
        </w:rPr>
        <w:t xml:space="preserve"> ҚҚС </w:t>
      </w:r>
      <w:proofErr w:type="spellStart"/>
      <w:r w:rsidRPr="00225005">
        <w:rPr>
          <w:rFonts w:ascii="Times New Roman CYR" w:hAnsi="Times New Roman CYR" w:cs="Times New Roman CYR"/>
          <w:i/>
          <w:iCs/>
          <w:sz w:val="24"/>
          <w:szCs w:val="24"/>
          <w:lang w:val="en-US"/>
        </w:rPr>
        <w:t>жеңілдетілген</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қайтару</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кезінде</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тәуекелдерді</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басқару</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жүйесін</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енгізуге</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қатысты</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болды</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бұл</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сұр</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схемаларды</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қолдану</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нәтижесінде</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пайда</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болған</w:t>
      </w:r>
      <w:proofErr w:type="spellEnd"/>
      <w:r w:rsidRPr="00225005">
        <w:rPr>
          <w:rFonts w:ascii="Times New Roman CYR" w:hAnsi="Times New Roman CYR" w:cs="Times New Roman CYR"/>
          <w:i/>
          <w:iCs/>
          <w:sz w:val="24"/>
          <w:szCs w:val="24"/>
          <w:lang w:val="en-US"/>
        </w:rPr>
        <w:t xml:space="preserve"> ҚҚС </w:t>
      </w:r>
      <w:proofErr w:type="spellStart"/>
      <w:r w:rsidRPr="00225005">
        <w:rPr>
          <w:rFonts w:ascii="Times New Roman CYR" w:hAnsi="Times New Roman CYR" w:cs="Times New Roman CYR"/>
          <w:i/>
          <w:iCs/>
          <w:sz w:val="24"/>
          <w:szCs w:val="24"/>
          <w:lang w:val="en-US"/>
        </w:rPr>
        <w:t>асып</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кетуін</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қайтару</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мүмкіндігін</w:t>
      </w:r>
      <w:proofErr w:type="spellEnd"/>
      <w:r w:rsidRPr="00225005">
        <w:rPr>
          <w:rFonts w:ascii="Times New Roman CYR" w:hAnsi="Times New Roman CYR" w:cs="Times New Roman CYR"/>
          <w:i/>
          <w:iCs/>
          <w:sz w:val="24"/>
          <w:szCs w:val="24"/>
          <w:lang w:val="en-US"/>
        </w:rPr>
        <w:t xml:space="preserve"> </w:t>
      </w:r>
      <w:proofErr w:type="spellStart"/>
      <w:r w:rsidRPr="00225005">
        <w:rPr>
          <w:rFonts w:ascii="Times New Roman CYR" w:hAnsi="Times New Roman CYR" w:cs="Times New Roman CYR"/>
          <w:i/>
          <w:iCs/>
          <w:sz w:val="24"/>
          <w:szCs w:val="24"/>
          <w:lang w:val="en-US"/>
        </w:rPr>
        <w:t>болдырмайды</w:t>
      </w:r>
      <w:proofErr w:type="spellEnd"/>
      <w:r w:rsidRPr="00225005">
        <w:rPr>
          <w:rFonts w:ascii="Times New Roman CYR" w:hAnsi="Times New Roman CYR" w:cs="Times New Roman CYR"/>
          <w:i/>
          <w:iCs/>
          <w:sz w:val="24"/>
          <w:szCs w:val="24"/>
          <w:lang w:val="en-US"/>
        </w:rPr>
        <w:t>.</w:t>
      </w:r>
      <w:proofErr w:type="gramEnd"/>
    </w:p>
    <w:p w:rsidR="00225005" w:rsidRPr="00225005" w:rsidRDefault="00225005" w:rsidP="00225005">
      <w:pPr>
        <w:widowControl w:val="0"/>
        <w:autoSpaceDE w:val="0"/>
        <w:autoSpaceDN w:val="0"/>
        <w:adjustRightInd w:val="0"/>
        <w:spacing w:before="100" w:after="100" w:line="240" w:lineRule="auto"/>
        <w:ind w:firstLine="708"/>
        <w:jc w:val="both"/>
        <w:rPr>
          <w:rFonts w:ascii="Times New Roman CYR" w:hAnsi="Times New Roman CYR" w:cs="Times New Roman CYR"/>
          <w:sz w:val="24"/>
          <w:szCs w:val="24"/>
          <w:lang w:val="en-US"/>
        </w:rPr>
      </w:pPr>
      <w:proofErr w:type="spellStart"/>
      <w:r w:rsidRPr="00225005">
        <w:rPr>
          <w:rFonts w:ascii="Times New Roman CYR" w:hAnsi="Times New Roman CYR" w:cs="Times New Roman CYR"/>
          <w:sz w:val="24"/>
          <w:szCs w:val="24"/>
        </w:rPr>
        <w:t>Бұған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дейін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бұқаралық</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ақпарат</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құралдарында</w:t>
      </w:r>
      <w:proofErr w:type="spellEnd"/>
      <w:r w:rsidRPr="00225005">
        <w:rPr>
          <w:rFonts w:ascii="Times New Roman CYR" w:hAnsi="Times New Roman CYR" w:cs="Times New Roman CYR"/>
          <w:sz w:val="24"/>
          <w:szCs w:val="24"/>
          <w:lang w:val="en-US"/>
        </w:rPr>
        <w:t xml:space="preserve"> </w:t>
      </w:r>
      <w:r w:rsidRPr="00225005">
        <w:rPr>
          <w:rFonts w:ascii="Times New Roman CYR" w:hAnsi="Times New Roman CYR" w:cs="Times New Roman CYR"/>
          <w:sz w:val="24"/>
          <w:szCs w:val="24"/>
        </w:rPr>
        <w:t>ҚҚС</w:t>
      </w:r>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артуын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қайтарудың</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жаңа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ережелері</w:t>
      </w:r>
      <w:proofErr w:type="spellEnd"/>
      <w:r w:rsidRPr="00225005">
        <w:rPr>
          <w:rFonts w:ascii="Times New Roman CYR" w:hAnsi="Times New Roman CYR" w:cs="Times New Roman CYR"/>
          <w:sz w:val="24"/>
          <w:szCs w:val="24"/>
          <w:lang w:val="en-US"/>
        </w:rPr>
        <w:t xml:space="preserve"> </w:t>
      </w:r>
      <w:r w:rsidRPr="00225005">
        <w:rPr>
          <w:rFonts w:ascii="Times New Roman CYR" w:hAnsi="Times New Roman CYR" w:cs="Times New Roman CYR"/>
          <w:sz w:val="24"/>
          <w:szCs w:val="24"/>
        </w:rPr>
        <w:t>бизне</w:t>
      </w:r>
      <w:proofErr w:type="gramStart"/>
      <w:r w:rsidRPr="00225005">
        <w:rPr>
          <w:rFonts w:ascii="Times New Roman CYR" w:hAnsi="Times New Roman CYR" w:cs="Times New Roman CYR"/>
          <w:sz w:val="24"/>
          <w:szCs w:val="24"/>
        </w:rPr>
        <w:t>с</w:t>
      </w:r>
      <w:r w:rsidRPr="00225005">
        <w:rPr>
          <w:rFonts w:ascii="Times New Roman CYR" w:hAnsi="Times New Roman CYR" w:cs="Times New Roman CYR"/>
          <w:sz w:val="24"/>
          <w:szCs w:val="24"/>
          <w:lang w:val="en-US"/>
        </w:rPr>
        <w:t>-</w:t>
      </w:r>
      <w:proofErr w:type="spellStart"/>
      <w:proofErr w:type="gramEnd"/>
      <w:r w:rsidRPr="00225005">
        <w:rPr>
          <w:rFonts w:ascii="Times New Roman CYR" w:hAnsi="Times New Roman CYR" w:cs="Times New Roman CYR"/>
          <w:sz w:val="24"/>
          <w:szCs w:val="24"/>
        </w:rPr>
        <w:t>қоғамдастықпен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талқылаусыз</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қабылданғандығы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және</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Салық</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кодексінің</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нормаларына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қайшы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келетіні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туралы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ақпарат</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жарияланған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болатын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Бұл</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материалда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салық</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төлеушілер</w:t>
      </w:r>
      <w:proofErr w:type="spellEnd"/>
      <w:proofErr w:type="gramStart"/>
      <w:r w:rsidRPr="00225005">
        <w:rPr>
          <w:rFonts w:ascii="Times New Roman CYR" w:hAnsi="Times New Roman CYR" w:cs="Times New Roman CYR"/>
          <w:sz w:val="24"/>
          <w:szCs w:val="24"/>
          <w:lang w:val="en-US"/>
        </w:rPr>
        <w:t xml:space="preserve"> </w:t>
      </w:r>
      <w:r w:rsidRPr="00225005">
        <w:rPr>
          <w:rFonts w:ascii="Times New Roman CYR" w:hAnsi="Times New Roman CYR" w:cs="Times New Roman CYR"/>
          <w:sz w:val="24"/>
          <w:szCs w:val="24"/>
        </w:rPr>
        <w:t>ҚҚС</w:t>
      </w:r>
      <w:proofErr w:type="gram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асып</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кетуін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қайтарудың</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жеңілдетілген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тәртібі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құқығынан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айырылатыны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атап</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өтілді</w:t>
      </w:r>
      <w:proofErr w:type="spellEnd"/>
      <w:r w:rsidRPr="00225005">
        <w:rPr>
          <w:rFonts w:ascii="Times New Roman CYR" w:hAnsi="Times New Roman CYR" w:cs="Times New Roman CYR"/>
          <w:sz w:val="24"/>
          <w:szCs w:val="24"/>
          <w:lang w:val="en-US"/>
        </w:rPr>
        <w:t>.</w:t>
      </w:r>
    </w:p>
    <w:p w:rsidR="00225005" w:rsidRPr="00225005" w:rsidRDefault="00225005" w:rsidP="00225005">
      <w:pPr>
        <w:widowControl w:val="0"/>
        <w:autoSpaceDE w:val="0"/>
        <w:autoSpaceDN w:val="0"/>
        <w:adjustRightInd w:val="0"/>
        <w:spacing w:before="100" w:after="100" w:line="240" w:lineRule="auto"/>
        <w:ind w:firstLine="708"/>
        <w:jc w:val="both"/>
        <w:rPr>
          <w:rFonts w:ascii="Times New Roman CYR" w:hAnsi="Times New Roman CYR" w:cs="Times New Roman CYR"/>
          <w:sz w:val="24"/>
          <w:szCs w:val="24"/>
          <w:lang w:val="en-US"/>
        </w:rPr>
      </w:pPr>
      <w:proofErr w:type="spellStart"/>
      <w:r w:rsidRPr="00225005">
        <w:rPr>
          <w:rFonts w:ascii="Times New Roman CYR" w:hAnsi="Times New Roman CYR" w:cs="Times New Roman CYR"/>
          <w:sz w:val="24"/>
          <w:szCs w:val="24"/>
        </w:rPr>
        <w:t>Қаржы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министрлігі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жаңа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ережелер</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Салық</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кодексінің</w:t>
      </w:r>
      <w:proofErr w:type="spellEnd"/>
      <w:r w:rsidRPr="00225005">
        <w:rPr>
          <w:rFonts w:ascii="Times New Roman CYR" w:hAnsi="Times New Roman CYR" w:cs="Times New Roman CYR"/>
          <w:sz w:val="24"/>
          <w:szCs w:val="24"/>
          <w:lang w:val="en-US"/>
        </w:rPr>
        <w:t xml:space="preserve"> 136 </w:t>
      </w:r>
      <w:proofErr w:type="spellStart"/>
      <w:r w:rsidRPr="00225005">
        <w:rPr>
          <w:rFonts w:ascii="Times New Roman CYR" w:hAnsi="Times New Roman CYR" w:cs="Times New Roman CYR"/>
          <w:sz w:val="24"/>
          <w:szCs w:val="24"/>
        </w:rPr>
        <w:t>және</w:t>
      </w:r>
      <w:proofErr w:type="spellEnd"/>
      <w:r w:rsidRPr="00225005">
        <w:rPr>
          <w:rFonts w:ascii="Times New Roman CYR" w:hAnsi="Times New Roman CYR" w:cs="Times New Roman CYR"/>
          <w:sz w:val="24"/>
          <w:szCs w:val="24"/>
          <w:lang w:val="en-US"/>
        </w:rPr>
        <w:t xml:space="preserve"> 429-</w:t>
      </w:r>
      <w:r w:rsidRPr="00225005">
        <w:rPr>
          <w:rFonts w:ascii="Times New Roman CYR" w:hAnsi="Times New Roman CYR" w:cs="Times New Roman CYR"/>
          <w:sz w:val="24"/>
          <w:szCs w:val="24"/>
        </w:rPr>
        <w:t>баптарына</w:t>
      </w:r>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сәйкес</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әзірленгенін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және</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экспорттаушыларға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және</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салық</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төлеушілердің</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басқа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санаттарына</w:t>
      </w:r>
      <w:proofErr w:type="spellEnd"/>
      <w:r w:rsidRPr="00225005">
        <w:rPr>
          <w:rFonts w:ascii="Times New Roman CYR" w:hAnsi="Times New Roman CYR" w:cs="Times New Roman CYR"/>
          <w:sz w:val="24"/>
          <w:szCs w:val="24"/>
          <w:lang w:val="en-US"/>
        </w:rPr>
        <w:t xml:space="preserve"> </w:t>
      </w:r>
      <w:r w:rsidRPr="00225005">
        <w:rPr>
          <w:rFonts w:ascii="Times New Roman CYR" w:hAnsi="Times New Roman CYR" w:cs="Times New Roman CYR"/>
          <w:sz w:val="24"/>
          <w:szCs w:val="24"/>
        </w:rPr>
        <w:t>ҚҚС</w:t>
      </w:r>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қайтару</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бойынша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бюджетпен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өзара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қарым</w:t>
      </w:r>
      <w:proofErr w:type="spellEnd"/>
      <w:r w:rsidRPr="00225005">
        <w:rPr>
          <w:rFonts w:ascii="Times New Roman CYR" w:hAnsi="Times New Roman CYR" w:cs="Times New Roman CYR"/>
          <w:sz w:val="24"/>
          <w:szCs w:val="24"/>
          <w:lang w:val="en-US"/>
        </w:rPr>
        <w:t>-</w:t>
      </w:r>
      <w:proofErr w:type="spellStart"/>
      <w:r w:rsidRPr="00225005">
        <w:rPr>
          <w:rFonts w:ascii="Times New Roman CYR" w:hAnsi="Times New Roman CYR" w:cs="Times New Roman CYR"/>
          <w:sz w:val="24"/>
          <w:szCs w:val="24"/>
        </w:rPr>
        <w:t>қатынастарды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реттейтіні</w:t>
      </w:r>
      <w:proofErr w:type="gramStart"/>
      <w:r w:rsidRPr="00225005">
        <w:rPr>
          <w:rFonts w:ascii="Times New Roman CYR" w:hAnsi="Times New Roman CYR" w:cs="Times New Roman CYR"/>
          <w:sz w:val="24"/>
          <w:szCs w:val="24"/>
        </w:rPr>
        <w:t>н</w:t>
      </w:r>
      <w:proofErr w:type="spellEnd"/>
      <w:proofErr w:type="gram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атап</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өтті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Өзгерістер</w:t>
      </w:r>
      <w:proofErr w:type="spellEnd"/>
      <w:r w:rsidRPr="00225005">
        <w:rPr>
          <w:rFonts w:ascii="Times New Roman CYR" w:hAnsi="Times New Roman CYR" w:cs="Times New Roman CYR"/>
          <w:sz w:val="24"/>
          <w:szCs w:val="24"/>
          <w:lang w:val="en-US"/>
        </w:rPr>
        <w:t xml:space="preserve"> 2022 </w:t>
      </w:r>
      <w:proofErr w:type="spellStart"/>
      <w:r w:rsidRPr="00225005">
        <w:rPr>
          <w:rFonts w:ascii="Times New Roman CYR" w:hAnsi="Times New Roman CYR" w:cs="Times New Roman CYR"/>
          <w:sz w:val="24"/>
          <w:szCs w:val="24"/>
        </w:rPr>
        <w:t>жылғы</w:t>
      </w:r>
      <w:proofErr w:type="spellEnd"/>
      <w:r w:rsidRPr="00225005">
        <w:rPr>
          <w:rFonts w:ascii="Times New Roman CYR" w:hAnsi="Times New Roman CYR" w:cs="Times New Roman CYR"/>
          <w:sz w:val="24"/>
          <w:szCs w:val="24"/>
          <w:lang w:val="en-US"/>
        </w:rPr>
        <w:t xml:space="preserve"> 14 </w:t>
      </w:r>
      <w:proofErr w:type="spellStart"/>
      <w:r w:rsidRPr="00225005">
        <w:rPr>
          <w:rFonts w:ascii="Times New Roman CYR" w:hAnsi="Times New Roman CYR" w:cs="Times New Roman CYR"/>
          <w:sz w:val="24"/>
          <w:szCs w:val="24"/>
        </w:rPr>
        <w:t>сәуірден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бастап</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күшіне</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енді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қосылған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құн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салығының</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асып</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кетуін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w:t>
      </w:r>
      <w:proofErr w:type="gramStart"/>
      <w:r w:rsidRPr="00225005">
        <w:rPr>
          <w:rFonts w:ascii="Times New Roman CYR" w:hAnsi="Times New Roman CYR" w:cs="Times New Roman CYR"/>
          <w:sz w:val="24"/>
          <w:szCs w:val="24"/>
        </w:rPr>
        <w:t>айтару</w:t>
      </w:r>
      <w:proofErr w:type="spellEnd"/>
      <w:proofErr w:type="gram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қағидаларын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бекіту</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туралы</w:t>
      </w:r>
      <w:proofErr w:type="spellEnd"/>
      <w:r w:rsidRPr="00225005">
        <w:rPr>
          <w:rFonts w:ascii="Times New Roman CYR" w:hAnsi="Times New Roman CYR" w:cs="Times New Roman CYR"/>
          <w:sz w:val="24"/>
          <w:szCs w:val="24"/>
          <w:lang w:val="en-US"/>
        </w:rPr>
        <w:t>"</w:t>
      </w:r>
      <w:proofErr w:type="spellStart"/>
      <w:r w:rsidRPr="00225005">
        <w:rPr>
          <w:rFonts w:ascii="Times New Roman CYR" w:hAnsi="Times New Roman CYR" w:cs="Times New Roman CYR"/>
          <w:sz w:val="24"/>
          <w:szCs w:val="24"/>
        </w:rPr>
        <w:t>Қазақстан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Республикасы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Қаржы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министрінің</w:t>
      </w:r>
      <w:proofErr w:type="spellEnd"/>
      <w:r w:rsidRPr="00225005">
        <w:rPr>
          <w:rFonts w:ascii="Times New Roman CYR" w:hAnsi="Times New Roman CYR" w:cs="Times New Roman CYR"/>
          <w:sz w:val="24"/>
          <w:szCs w:val="24"/>
          <w:lang w:val="en-US"/>
        </w:rPr>
        <w:t xml:space="preserve"> 2018 </w:t>
      </w:r>
      <w:proofErr w:type="spellStart"/>
      <w:r w:rsidRPr="00225005">
        <w:rPr>
          <w:rFonts w:ascii="Times New Roman CYR" w:hAnsi="Times New Roman CYR" w:cs="Times New Roman CYR"/>
          <w:sz w:val="24"/>
          <w:szCs w:val="24"/>
        </w:rPr>
        <w:t>жылғы</w:t>
      </w:r>
      <w:proofErr w:type="spellEnd"/>
      <w:r w:rsidRPr="00225005">
        <w:rPr>
          <w:rFonts w:ascii="Times New Roman CYR" w:hAnsi="Times New Roman CYR" w:cs="Times New Roman CYR"/>
          <w:sz w:val="24"/>
          <w:szCs w:val="24"/>
          <w:lang w:val="en-US"/>
        </w:rPr>
        <w:t xml:space="preserve"> 19 </w:t>
      </w:r>
      <w:proofErr w:type="spellStart"/>
      <w:r w:rsidRPr="00225005">
        <w:rPr>
          <w:rFonts w:ascii="Times New Roman CYR" w:hAnsi="Times New Roman CYR" w:cs="Times New Roman CYR"/>
          <w:sz w:val="24"/>
          <w:szCs w:val="24"/>
        </w:rPr>
        <w:t>наурыздағы</w:t>
      </w:r>
      <w:proofErr w:type="spellEnd"/>
      <w:r w:rsidRPr="00225005">
        <w:rPr>
          <w:rFonts w:ascii="Times New Roman CYR" w:hAnsi="Times New Roman CYR" w:cs="Times New Roman CYR"/>
          <w:sz w:val="24"/>
          <w:szCs w:val="24"/>
          <w:lang w:val="en-US"/>
        </w:rPr>
        <w:t xml:space="preserve"> № 391 </w:t>
      </w:r>
      <w:proofErr w:type="spellStart"/>
      <w:r w:rsidRPr="00225005">
        <w:rPr>
          <w:rFonts w:ascii="Times New Roman CYR" w:hAnsi="Times New Roman CYR" w:cs="Times New Roman CYR"/>
          <w:sz w:val="24"/>
          <w:szCs w:val="24"/>
        </w:rPr>
        <w:t>бұйрығы</w:t>
      </w:r>
      <w:proofErr w:type="spellEnd"/>
      <w:r w:rsidRPr="00225005">
        <w:rPr>
          <w:rFonts w:ascii="Times New Roman CYR" w:hAnsi="Times New Roman CYR" w:cs="Times New Roman CYR"/>
          <w:sz w:val="24"/>
          <w:szCs w:val="24"/>
          <w:lang w:val="en-US"/>
        </w:rPr>
        <w:t>).</w:t>
      </w:r>
    </w:p>
    <w:p w:rsidR="00225005" w:rsidRPr="00225005" w:rsidRDefault="00225005" w:rsidP="00225005">
      <w:pPr>
        <w:widowControl w:val="0"/>
        <w:autoSpaceDE w:val="0"/>
        <w:autoSpaceDN w:val="0"/>
        <w:adjustRightInd w:val="0"/>
        <w:spacing w:before="100" w:after="100" w:line="240" w:lineRule="auto"/>
        <w:ind w:firstLine="708"/>
        <w:jc w:val="both"/>
        <w:rPr>
          <w:rFonts w:ascii="Times New Roman CYR" w:hAnsi="Times New Roman CYR" w:cs="Times New Roman CYR"/>
          <w:sz w:val="24"/>
          <w:szCs w:val="24"/>
          <w:lang w:val="en-US"/>
        </w:rPr>
      </w:pPr>
      <w:proofErr w:type="spellStart"/>
      <w:r w:rsidRPr="00225005">
        <w:rPr>
          <w:rFonts w:ascii="Times New Roman CYR" w:hAnsi="Times New Roman CYR" w:cs="Times New Roman CYR"/>
          <w:sz w:val="24"/>
          <w:szCs w:val="24"/>
        </w:rPr>
        <w:t>Актіні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әзірлеу</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кезінде</w:t>
      </w:r>
      <w:proofErr w:type="spellEnd"/>
      <w:r w:rsidRPr="00225005">
        <w:rPr>
          <w:rFonts w:ascii="Times New Roman CYR" w:hAnsi="Times New Roman CYR" w:cs="Times New Roman CYR"/>
          <w:sz w:val="24"/>
          <w:szCs w:val="24"/>
          <w:lang w:val="en-US"/>
        </w:rPr>
        <w:t xml:space="preserve"> </w:t>
      </w:r>
      <w:r w:rsidRPr="00225005">
        <w:rPr>
          <w:rFonts w:ascii="Times New Roman CYR" w:hAnsi="Times New Roman CYR" w:cs="Times New Roman CYR"/>
          <w:sz w:val="24"/>
          <w:szCs w:val="24"/>
        </w:rPr>
        <w:t>бизне</w:t>
      </w:r>
      <w:proofErr w:type="gramStart"/>
      <w:r w:rsidRPr="00225005">
        <w:rPr>
          <w:rFonts w:ascii="Times New Roman CYR" w:hAnsi="Times New Roman CYR" w:cs="Times New Roman CYR"/>
          <w:sz w:val="24"/>
          <w:szCs w:val="24"/>
        </w:rPr>
        <w:t>с</w:t>
      </w:r>
      <w:r w:rsidRPr="00225005">
        <w:rPr>
          <w:rFonts w:ascii="Times New Roman CYR" w:hAnsi="Times New Roman CYR" w:cs="Times New Roman CYR"/>
          <w:sz w:val="24"/>
          <w:szCs w:val="24"/>
          <w:lang w:val="en-US"/>
        </w:rPr>
        <w:t>-</w:t>
      </w:r>
      <w:proofErr w:type="spellStart"/>
      <w:proofErr w:type="gramEnd"/>
      <w:r w:rsidRPr="00225005">
        <w:rPr>
          <w:rFonts w:ascii="Times New Roman CYR" w:hAnsi="Times New Roman CYR" w:cs="Times New Roman CYR"/>
          <w:sz w:val="24"/>
          <w:szCs w:val="24"/>
        </w:rPr>
        <w:t>қоғамдастықтың</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ескертулері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ұсыныстары</w:t>
      </w:r>
      <w:proofErr w:type="spellEnd"/>
      <w:r w:rsidRPr="00225005">
        <w:rPr>
          <w:rFonts w:ascii="Times New Roman CYR" w:hAnsi="Times New Roman CYR" w:cs="Times New Roman CYR"/>
          <w:sz w:val="24"/>
          <w:szCs w:val="24"/>
          <w:lang w:val="en-US"/>
        </w:rPr>
        <w:t xml:space="preserve"> </w:t>
      </w:r>
      <w:r w:rsidRPr="00225005">
        <w:rPr>
          <w:rFonts w:ascii="Times New Roman CYR" w:hAnsi="Times New Roman CYR" w:cs="Times New Roman CYR"/>
          <w:sz w:val="24"/>
          <w:szCs w:val="24"/>
        </w:rPr>
        <w:t>мен</w:t>
      </w:r>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ұсынымдары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ескерілген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Бұйрық</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жобасы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сайтқа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орналастырылды</w:t>
      </w:r>
      <w:proofErr w:type="spellEnd"/>
      <w:r w:rsidRPr="00225005">
        <w:rPr>
          <w:rFonts w:ascii="Times New Roman CYR" w:hAnsi="Times New Roman CYR" w:cs="Times New Roman CYR"/>
          <w:sz w:val="24"/>
          <w:szCs w:val="24"/>
          <w:lang w:val="en-US"/>
        </w:rPr>
        <w:t xml:space="preserve"> legalacts.egov.kz </w:t>
      </w:r>
      <w:proofErr w:type="spellStart"/>
      <w:r w:rsidRPr="00225005">
        <w:rPr>
          <w:rFonts w:ascii="Times New Roman CYR" w:hAnsi="Times New Roman CYR" w:cs="Times New Roman CYR"/>
          <w:sz w:val="24"/>
          <w:szCs w:val="24"/>
        </w:rPr>
        <w:t>жария</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талқылау</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үшін</w:t>
      </w:r>
      <w:proofErr w:type="spellEnd"/>
      <w:r w:rsidRPr="00225005">
        <w:rPr>
          <w:rFonts w:ascii="Times New Roman CYR" w:hAnsi="Times New Roman CYR" w:cs="Times New Roman CYR"/>
          <w:sz w:val="24"/>
          <w:szCs w:val="24"/>
          <w:lang w:val="en-US"/>
        </w:rPr>
        <w:t xml:space="preserve"> 2022 </w:t>
      </w:r>
      <w:proofErr w:type="spellStart"/>
      <w:r w:rsidRPr="00225005">
        <w:rPr>
          <w:rFonts w:ascii="Times New Roman CYR" w:hAnsi="Times New Roman CYR" w:cs="Times New Roman CYR"/>
          <w:sz w:val="24"/>
          <w:szCs w:val="24"/>
        </w:rPr>
        <w:t>жылғы</w:t>
      </w:r>
      <w:proofErr w:type="spellEnd"/>
      <w:r w:rsidRPr="00225005">
        <w:rPr>
          <w:rFonts w:ascii="Times New Roman CYR" w:hAnsi="Times New Roman CYR" w:cs="Times New Roman CYR"/>
          <w:sz w:val="24"/>
          <w:szCs w:val="24"/>
          <w:lang w:val="en-US"/>
        </w:rPr>
        <w:t xml:space="preserve"> 25 </w:t>
      </w:r>
      <w:proofErr w:type="spellStart"/>
      <w:r w:rsidRPr="00225005">
        <w:rPr>
          <w:rFonts w:ascii="Times New Roman CYR" w:hAnsi="Times New Roman CYR" w:cs="Times New Roman CYR"/>
          <w:sz w:val="24"/>
          <w:szCs w:val="24"/>
        </w:rPr>
        <w:t>қаңтардан</w:t>
      </w:r>
      <w:proofErr w:type="spellEnd"/>
      <w:r w:rsidRPr="00225005">
        <w:rPr>
          <w:rFonts w:ascii="Times New Roman CYR" w:hAnsi="Times New Roman CYR" w:cs="Times New Roman CYR"/>
          <w:sz w:val="24"/>
          <w:szCs w:val="24"/>
          <w:lang w:val="en-US"/>
        </w:rPr>
        <w:t xml:space="preserve"> 2022 </w:t>
      </w:r>
      <w:proofErr w:type="spellStart"/>
      <w:r w:rsidRPr="00225005">
        <w:rPr>
          <w:rFonts w:ascii="Times New Roman CYR" w:hAnsi="Times New Roman CYR" w:cs="Times New Roman CYR"/>
          <w:sz w:val="24"/>
          <w:szCs w:val="24"/>
        </w:rPr>
        <w:t>жылғы</w:t>
      </w:r>
      <w:proofErr w:type="spellEnd"/>
      <w:r w:rsidRPr="00225005">
        <w:rPr>
          <w:rFonts w:ascii="Times New Roman CYR" w:hAnsi="Times New Roman CYR" w:cs="Times New Roman CYR"/>
          <w:sz w:val="24"/>
          <w:szCs w:val="24"/>
          <w:lang w:val="en-US"/>
        </w:rPr>
        <w:t xml:space="preserve"> 8 </w:t>
      </w:r>
      <w:proofErr w:type="spellStart"/>
      <w:r w:rsidRPr="00225005">
        <w:rPr>
          <w:rFonts w:ascii="Times New Roman CYR" w:hAnsi="Times New Roman CYR" w:cs="Times New Roman CYR"/>
          <w:sz w:val="24"/>
          <w:szCs w:val="24"/>
        </w:rPr>
        <w:t>ақпанға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дейін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Барлық</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ескертулер</w:t>
      </w:r>
      <w:proofErr w:type="spellEnd"/>
      <w:r w:rsidRPr="00225005">
        <w:rPr>
          <w:rFonts w:ascii="Times New Roman CYR" w:hAnsi="Times New Roman CYR" w:cs="Times New Roman CYR"/>
          <w:sz w:val="24"/>
          <w:szCs w:val="24"/>
          <w:lang w:val="en-US"/>
        </w:rPr>
        <w:t xml:space="preserve"> </w:t>
      </w:r>
      <w:r w:rsidRPr="00225005">
        <w:rPr>
          <w:rFonts w:ascii="Times New Roman CYR" w:hAnsi="Times New Roman CYR" w:cs="Times New Roman CYR"/>
          <w:sz w:val="24"/>
          <w:szCs w:val="24"/>
        </w:rPr>
        <w:t>мен</w:t>
      </w:r>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ұсыныстарға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негізделген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жауаптар</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берілді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Тиісінше</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нормативтік</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құқықтық</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актілерге</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өзгерістер</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енгізудің</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барлық</w:t>
      </w:r>
      <w:proofErr w:type="spellEnd"/>
      <w:r w:rsidRPr="00225005">
        <w:rPr>
          <w:rFonts w:ascii="Times New Roman CYR" w:hAnsi="Times New Roman CYR" w:cs="Times New Roman CYR"/>
          <w:sz w:val="24"/>
          <w:szCs w:val="24"/>
          <w:lang w:val="en-US"/>
        </w:rPr>
        <w:t xml:space="preserve"> </w:t>
      </w:r>
      <w:proofErr w:type="spellStart"/>
      <w:proofErr w:type="gramStart"/>
      <w:r w:rsidRPr="00225005">
        <w:rPr>
          <w:rFonts w:ascii="Times New Roman CYR" w:hAnsi="Times New Roman CYR" w:cs="Times New Roman CYR"/>
          <w:sz w:val="24"/>
          <w:szCs w:val="24"/>
        </w:rPr>
        <w:t>р</w:t>
      </w:r>
      <w:proofErr w:type="gramEnd"/>
      <w:r w:rsidRPr="00225005">
        <w:rPr>
          <w:rFonts w:ascii="Times New Roman CYR" w:hAnsi="Times New Roman CYR" w:cs="Times New Roman CYR"/>
          <w:sz w:val="24"/>
          <w:szCs w:val="24"/>
        </w:rPr>
        <w:t>әсімдері</w:t>
      </w:r>
      <w:proofErr w:type="spellEnd"/>
      <w:r w:rsidRPr="00225005">
        <w:rPr>
          <w:rFonts w:ascii="Times New Roman CYR" w:hAnsi="Times New Roman CYR" w:cs="Times New Roman CYR"/>
          <w:sz w:val="24"/>
          <w:szCs w:val="24"/>
          <w:lang w:val="en-US"/>
        </w:rPr>
        <w:t xml:space="preserve"> </w:t>
      </w:r>
      <w:r w:rsidRPr="00225005">
        <w:rPr>
          <w:rFonts w:ascii="Times New Roman CYR" w:hAnsi="Times New Roman CYR" w:cs="Times New Roman CYR"/>
          <w:sz w:val="24"/>
          <w:szCs w:val="24"/>
        </w:rPr>
        <w:t>мен</w:t>
      </w:r>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мерзімдері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сақталған</w:t>
      </w:r>
      <w:proofErr w:type="spellEnd"/>
      <w:r w:rsidRPr="00225005">
        <w:rPr>
          <w:rFonts w:ascii="Times New Roman CYR" w:hAnsi="Times New Roman CYR" w:cs="Times New Roman CYR"/>
          <w:sz w:val="24"/>
          <w:szCs w:val="24"/>
          <w:lang w:val="en-US"/>
        </w:rPr>
        <w:t>.</w:t>
      </w:r>
    </w:p>
    <w:p w:rsidR="00225005" w:rsidRPr="00225005" w:rsidRDefault="00225005" w:rsidP="00225005">
      <w:pPr>
        <w:widowControl w:val="0"/>
        <w:autoSpaceDE w:val="0"/>
        <w:autoSpaceDN w:val="0"/>
        <w:adjustRightInd w:val="0"/>
        <w:spacing w:before="100" w:after="100" w:line="240" w:lineRule="auto"/>
        <w:ind w:firstLine="708"/>
        <w:jc w:val="both"/>
        <w:rPr>
          <w:rFonts w:ascii="Times New Roman CYR" w:hAnsi="Times New Roman CYR" w:cs="Times New Roman CYR"/>
          <w:sz w:val="24"/>
          <w:szCs w:val="24"/>
          <w:lang w:val="en-US"/>
        </w:rPr>
      </w:pPr>
      <w:proofErr w:type="spellStart"/>
      <w:r w:rsidRPr="00225005">
        <w:rPr>
          <w:rFonts w:ascii="Times New Roman CYR" w:hAnsi="Times New Roman CYR" w:cs="Times New Roman CYR"/>
          <w:sz w:val="24"/>
          <w:szCs w:val="24"/>
        </w:rPr>
        <w:t>Жаңа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ережелерге</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сәйкес</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енді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тексерулер</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барысында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өзара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байланысты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тараптар</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арқылы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жеткізушілермен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өзара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есеп</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айырысуларға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талдау</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жүргізілетін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болады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бұл</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сұр</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схемаларды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қолдану</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нәтижесінде</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пайда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болған</w:t>
      </w:r>
      <w:proofErr w:type="spellEnd"/>
      <w:proofErr w:type="gramStart"/>
      <w:r w:rsidRPr="00225005">
        <w:rPr>
          <w:rFonts w:ascii="Times New Roman CYR" w:hAnsi="Times New Roman CYR" w:cs="Times New Roman CYR"/>
          <w:sz w:val="24"/>
          <w:szCs w:val="24"/>
          <w:lang w:val="en-US"/>
        </w:rPr>
        <w:t xml:space="preserve"> </w:t>
      </w:r>
      <w:r w:rsidRPr="00225005">
        <w:rPr>
          <w:rFonts w:ascii="Times New Roman CYR" w:hAnsi="Times New Roman CYR" w:cs="Times New Roman CYR"/>
          <w:sz w:val="24"/>
          <w:szCs w:val="24"/>
        </w:rPr>
        <w:t>ҚҚС</w:t>
      </w:r>
      <w:proofErr w:type="gram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артуын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қайтару</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мүмкіндігін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болдырмайды</w:t>
      </w:r>
      <w:proofErr w:type="spellEnd"/>
      <w:r w:rsidRPr="00225005">
        <w:rPr>
          <w:rFonts w:ascii="Times New Roman CYR" w:hAnsi="Times New Roman CYR" w:cs="Times New Roman CYR"/>
          <w:sz w:val="24"/>
          <w:szCs w:val="24"/>
          <w:lang w:val="en-US"/>
        </w:rPr>
        <w:t>.</w:t>
      </w:r>
    </w:p>
    <w:p w:rsidR="00225005" w:rsidRPr="00225005" w:rsidRDefault="00225005" w:rsidP="00225005">
      <w:pPr>
        <w:widowControl w:val="0"/>
        <w:autoSpaceDE w:val="0"/>
        <w:autoSpaceDN w:val="0"/>
        <w:adjustRightInd w:val="0"/>
        <w:spacing w:before="100" w:after="100" w:line="240" w:lineRule="auto"/>
        <w:ind w:firstLine="708"/>
        <w:jc w:val="both"/>
        <w:rPr>
          <w:rFonts w:ascii="Times New Roman CYR" w:hAnsi="Times New Roman CYR" w:cs="Times New Roman CYR"/>
          <w:sz w:val="24"/>
          <w:szCs w:val="24"/>
          <w:lang w:val="en-US"/>
        </w:rPr>
      </w:pPr>
      <w:proofErr w:type="spellStart"/>
      <w:proofErr w:type="gramStart"/>
      <w:r w:rsidRPr="00225005">
        <w:rPr>
          <w:rFonts w:ascii="Times New Roman CYR" w:hAnsi="Times New Roman CYR" w:cs="Times New Roman CYR"/>
          <w:sz w:val="24"/>
          <w:szCs w:val="24"/>
        </w:rPr>
        <w:t>Сондай</w:t>
      </w:r>
      <w:proofErr w:type="spellEnd"/>
      <w:r w:rsidRPr="00225005">
        <w:rPr>
          <w:rFonts w:ascii="Times New Roman CYR" w:hAnsi="Times New Roman CYR" w:cs="Times New Roman CYR"/>
          <w:sz w:val="24"/>
          <w:szCs w:val="24"/>
          <w:lang w:val="en-US"/>
        </w:rPr>
        <w:t>-</w:t>
      </w:r>
      <w:proofErr w:type="spellStart"/>
      <w:r w:rsidRPr="00225005">
        <w:rPr>
          <w:rFonts w:ascii="Times New Roman CYR" w:hAnsi="Times New Roman CYR" w:cs="Times New Roman CYR"/>
          <w:sz w:val="24"/>
          <w:szCs w:val="24"/>
        </w:rPr>
        <w:t>ақ</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тексерулердің</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практикалық</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тәжірибесіне</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сүйене</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отырып</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Ережеге</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мәтіндік</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тұжырымдардың</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орнына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есептеудің</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математикалық</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формулалары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енгізілді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Формулалар</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заңнама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нормаларын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қолданудың</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біркелкі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тәжірибесін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енгізуге</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ықпал</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етеді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және</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соманы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дұрыс</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анықтамау</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қаупін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және</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тексерушінің</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субъективті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бағасын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болдырмайды</w:t>
      </w:r>
      <w:proofErr w:type="spellEnd"/>
      <w:r w:rsidRPr="00225005">
        <w:rPr>
          <w:rFonts w:ascii="Times New Roman CYR" w:hAnsi="Times New Roman CYR" w:cs="Times New Roman CYR"/>
          <w:sz w:val="24"/>
          <w:szCs w:val="24"/>
          <w:lang w:val="en-US"/>
        </w:rPr>
        <w:t>.</w:t>
      </w:r>
      <w:proofErr w:type="gramEnd"/>
    </w:p>
    <w:p w:rsidR="00225005" w:rsidRPr="00225005" w:rsidRDefault="00225005" w:rsidP="00225005">
      <w:pPr>
        <w:widowControl w:val="0"/>
        <w:autoSpaceDE w:val="0"/>
        <w:autoSpaceDN w:val="0"/>
        <w:adjustRightInd w:val="0"/>
        <w:spacing w:before="100" w:after="100" w:line="240" w:lineRule="auto"/>
        <w:ind w:firstLine="708"/>
        <w:jc w:val="both"/>
        <w:rPr>
          <w:rFonts w:ascii="Times New Roman CYR" w:hAnsi="Times New Roman CYR" w:cs="Times New Roman CYR"/>
          <w:sz w:val="24"/>
          <w:szCs w:val="24"/>
          <w:lang w:val="en-US"/>
        </w:rPr>
      </w:pPr>
      <w:proofErr w:type="spellStart"/>
      <w:r w:rsidRPr="00225005">
        <w:rPr>
          <w:rFonts w:ascii="Times New Roman CYR" w:hAnsi="Times New Roman CYR" w:cs="Times New Roman CYR"/>
          <w:sz w:val="24"/>
          <w:szCs w:val="24"/>
        </w:rPr>
        <w:t>Бұдан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басқа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бұрын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қолданыста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болған</w:t>
      </w:r>
      <w:proofErr w:type="spellEnd"/>
      <w:r w:rsidRPr="00225005">
        <w:rPr>
          <w:rFonts w:ascii="Times New Roman CYR" w:hAnsi="Times New Roman CYR" w:cs="Times New Roman CYR"/>
          <w:sz w:val="24"/>
          <w:szCs w:val="24"/>
          <w:lang w:val="en-US"/>
        </w:rPr>
        <w:t xml:space="preserve"> 15 </w:t>
      </w:r>
      <w:proofErr w:type="spellStart"/>
      <w:r w:rsidRPr="00225005">
        <w:rPr>
          <w:rFonts w:ascii="Times New Roman CYR" w:hAnsi="Times New Roman CYR" w:cs="Times New Roman CYR"/>
          <w:sz w:val="24"/>
          <w:szCs w:val="24"/>
        </w:rPr>
        <w:t>теріс</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өлшемшарт</w:t>
      </w:r>
      <w:proofErr w:type="spellEnd"/>
      <w:r w:rsidRPr="00225005">
        <w:rPr>
          <w:rFonts w:ascii="Times New Roman CYR" w:hAnsi="Times New Roman CYR" w:cs="Times New Roman CYR"/>
          <w:sz w:val="24"/>
          <w:szCs w:val="24"/>
          <w:lang w:val="en-US"/>
        </w:rPr>
        <w:t xml:space="preserve"> 12-</w:t>
      </w:r>
      <w:r w:rsidRPr="00225005">
        <w:rPr>
          <w:rFonts w:ascii="Times New Roman CYR" w:hAnsi="Times New Roman CYR" w:cs="Times New Roman CYR"/>
          <w:sz w:val="24"/>
          <w:szCs w:val="24"/>
        </w:rPr>
        <w:t>ге</w:t>
      </w:r>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дейін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қысқартылды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сондай</w:t>
      </w:r>
      <w:proofErr w:type="spellEnd"/>
      <w:r w:rsidRPr="00225005">
        <w:rPr>
          <w:rFonts w:ascii="Times New Roman CYR" w:hAnsi="Times New Roman CYR" w:cs="Times New Roman CYR"/>
          <w:sz w:val="24"/>
          <w:szCs w:val="24"/>
          <w:lang w:val="en-US"/>
        </w:rPr>
        <w:t>-</w:t>
      </w:r>
      <w:proofErr w:type="spellStart"/>
      <w:r w:rsidRPr="00225005">
        <w:rPr>
          <w:rFonts w:ascii="Times New Roman CYR" w:hAnsi="Times New Roman CYR" w:cs="Times New Roman CYR"/>
          <w:sz w:val="24"/>
          <w:szCs w:val="24"/>
        </w:rPr>
        <w:t>ақ</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адал</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өндірушілерді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қолдауға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бағытталған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қосымша</w:t>
      </w:r>
      <w:proofErr w:type="spellEnd"/>
      <w:r w:rsidRPr="00225005">
        <w:rPr>
          <w:rFonts w:ascii="Times New Roman CYR" w:hAnsi="Times New Roman CYR" w:cs="Times New Roman CYR"/>
          <w:sz w:val="24"/>
          <w:szCs w:val="24"/>
          <w:lang w:val="en-US"/>
        </w:rPr>
        <w:t xml:space="preserve"> 12 </w:t>
      </w:r>
      <w:proofErr w:type="spellStart"/>
      <w:r w:rsidRPr="00225005">
        <w:rPr>
          <w:rFonts w:ascii="Times New Roman CYR" w:hAnsi="Times New Roman CYR" w:cs="Times New Roman CYR"/>
          <w:sz w:val="24"/>
          <w:szCs w:val="24"/>
        </w:rPr>
        <w:t>оң</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өлшемшарт</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енгізілді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Сондай</w:t>
      </w:r>
      <w:proofErr w:type="spellEnd"/>
      <w:r w:rsidRPr="00225005">
        <w:rPr>
          <w:rFonts w:ascii="Times New Roman CYR" w:hAnsi="Times New Roman CYR" w:cs="Times New Roman CYR"/>
          <w:sz w:val="24"/>
          <w:szCs w:val="24"/>
          <w:lang w:val="en-US"/>
        </w:rPr>
        <w:t>-</w:t>
      </w:r>
      <w:proofErr w:type="spellStart"/>
      <w:r w:rsidRPr="00225005">
        <w:rPr>
          <w:rFonts w:ascii="Times New Roman CYR" w:hAnsi="Times New Roman CYR" w:cs="Times New Roman CYR"/>
          <w:sz w:val="24"/>
          <w:szCs w:val="24"/>
        </w:rPr>
        <w:t>ақ</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критерийлерді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есептеу</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тәртібі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жетілді</w:t>
      </w:r>
      <w:proofErr w:type="gramStart"/>
      <w:r w:rsidRPr="00225005">
        <w:rPr>
          <w:rFonts w:ascii="Times New Roman CYR" w:hAnsi="Times New Roman CYR" w:cs="Times New Roman CYR"/>
          <w:sz w:val="24"/>
          <w:szCs w:val="24"/>
        </w:rPr>
        <w:t>р</w:t>
      </w:r>
      <w:proofErr w:type="gramEnd"/>
      <w:r w:rsidRPr="00225005">
        <w:rPr>
          <w:rFonts w:ascii="Times New Roman CYR" w:hAnsi="Times New Roman CYR" w:cs="Times New Roman CYR"/>
          <w:sz w:val="24"/>
          <w:szCs w:val="24"/>
        </w:rPr>
        <w:t>ілді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егер</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бұрын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тәуекел</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фактісі</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үшін</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теріс</w:t>
      </w:r>
      <w:proofErr w:type="spellEnd"/>
      <w:r w:rsidRPr="00225005">
        <w:rPr>
          <w:rFonts w:ascii="Times New Roman CYR" w:hAnsi="Times New Roman CYR" w:cs="Times New Roman CYR"/>
          <w:sz w:val="24"/>
          <w:szCs w:val="24"/>
          <w:lang w:val="en-US"/>
        </w:rPr>
        <w:t xml:space="preserve"> </w:t>
      </w:r>
      <w:r w:rsidRPr="00225005">
        <w:rPr>
          <w:rFonts w:ascii="Times New Roman CYR" w:hAnsi="Times New Roman CYR" w:cs="Times New Roman CYR"/>
          <w:sz w:val="24"/>
          <w:szCs w:val="24"/>
        </w:rPr>
        <w:t>балл</w:t>
      </w:r>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берілсе</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онда</w:t>
      </w:r>
      <w:proofErr w:type="spellEnd"/>
      <w:r w:rsidRPr="00225005">
        <w:rPr>
          <w:rFonts w:ascii="Times New Roman CYR" w:hAnsi="Times New Roman CYR" w:cs="Times New Roman CYR"/>
          <w:sz w:val="24"/>
          <w:szCs w:val="24"/>
          <w:lang w:val="en-US"/>
        </w:rPr>
        <w:t xml:space="preserve"> </w:t>
      </w:r>
      <w:proofErr w:type="spellStart"/>
      <w:proofErr w:type="gramStart"/>
      <w:r w:rsidRPr="00225005">
        <w:rPr>
          <w:rFonts w:ascii="Times New Roman CYR" w:hAnsi="Times New Roman CYR" w:cs="Times New Roman CYR"/>
          <w:sz w:val="24"/>
          <w:szCs w:val="24"/>
        </w:rPr>
        <w:t>жа</w:t>
      </w:r>
      <w:proofErr w:type="gramEnd"/>
      <w:r w:rsidRPr="00225005">
        <w:rPr>
          <w:rFonts w:ascii="Times New Roman CYR" w:hAnsi="Times New Roman CYR" w:cs="Times New Roman CYR"/>
          <w:sz w:val="24"/>
          <w:szCs w:val="24"/>
        </w:rPr>
        <w:t>ңа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ережелер</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бойынша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баллдар</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тәуекел</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ауқымы</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бойынша</w:t>
      </w:r>
      <w:proofErr w:type="spellEnd"/>
      <w:r w:rsidRPr="00225005">
        <w:rPr>
          <w:rFonts w:ascii="Times New Roman CYR" w:hAnsi="Times New Roman CYR" w:cs="Times New Roman CYR"/>
          <w:sz w:val="24"/>
          <w:szCs w:val="24"/>
          <w:lang w:val="en-US"/>
        </w:rPr>
        <w:t xml:space="preserve"> </w:t>
      </w:r>
      <w:proofErr w:type="spellStart"/>
      <w:r w:rsidRPr="00225005">
        <w:rPr>
          <w:rFonts w:ascii="Times New Roman CYR" w:hAnsi="Times New Roman CYR" w:cs="Times New Roman CYR"/>
          <w:sz w:val="24"/>
          <w:szCs w:val="24"/>
        </w:rPr>
        <w:t>беріледі</w:t>
      </w:r>
      <w:proofErr w:type="spellEnd"/>
      <w:r w:rsidRPr="00225005">
        <w:rPr>
          <w:rFonts w:ascii="Times New Roman CYR" w:hAnsi="Times New Roman CYR" w:cs="Times New Roman CYR"/>
          <w:sz w:val="24"/>
          <w:szCs w:val="24"/>
          <w:lang w:val="en-US"/>
        </w:rPr>
        <w:t xml:space="preserve">.   </w:t>
      </w:r>
    </w:p>
    <w:p w:rsidR="00447436" w:rsidRDefault="00225005" w:rsidP="00225005">
      <w:pPr>
        <w:widowControl w:val="0"/>
        <w:autoSpaceDE w:val="0"/>
        <w:autoSpaceDN w:val="0"/>
        <w:adjustRightInd w:val="0"/>
        <w:spacing w:before="100" w:after="100" w:line="240" w:lineRule="auto"/>
        <w:ind w:firstLine="708"/>
        <w:jc w:val="both"/>
        <w:rPr>
          <w:rFonts w:ascii="Times New Roman CYR" w:hAnsi="Times New Roman CYR" w:cs="Times New Roman CYR"/>
          <w:sz w:val="24"/>
          <w:szCs w:val="24"/>
        </w:rPr>
      </w:pPr>
      <w:proofErr w:type="spellStart"/>
      <w:r w:rsidRPr="00225005">
        <w:rPr>
          <w:rFonts w:ascii="Times New Roman CYR" w:hAnsi="Times New Roman CYR" w:cs="Times New Roman CYR"/>
          <w:sz w:val="24"/>
          <w:szCs w:val="24"/>
        </w:rPr>
        <w:t>Осылайша</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министрлік</w:t>
      </w:r>
      <w:proofErr w:type="spellEnd"/>
      <w:r w:rsidRPr="00225005">
        <w:rPr>
          <w:rFonts w:ascii="Times New Roman CYR" w:hAnsi="Times New Roman CYR" w:cs="Times New Roman CYR"/>
          <w:sz w:val="24"/>
          <w:szCs w:val="24"/>
        </w:rPr>
        <w:t xml:space="preserve"> </w:t>
      </w:r>
      <w:proofErr w:type="spellStart"/>
      <w:proofErr w:type="gramStart"/>
      <w:r w:rsidRPr="00225005">
        <w:rPr>
          <w:rFonts w:ascii="Times New Roman CYR" w:hAnsi="Times New Roman CYR" w:cs="Times New Roman CYR"/>
          <w:sz w:val="24"/>
          <w:szCs w:val="24"/>
        </w:rPr>
        <w:t>жа</w:t>
      </w:r>
      <w:proofErr w:type="gramEnd"/>
      <w:r w:rsidRPr="00225005">
        <w:rPr>
          <w:rFonts w:ascii="Times New Roman CYR" w:hAnsi="Times New Roman CYR" w:cs="Times New Roman CYR"/>
          <w:sz w:val="24"/>
          <w:szCs w:val="24"/>
        </w:rPr>
        <w:t>ңа</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ережелер</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оң</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салық</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тарихы</w:t>
      </w:r>
      <w:proofErr w:type="spellEnd"/>
      <w:r w:rsidRPr="00225005">
        <w:rPr>
          <w:rFonts w:ascii="Times New Roman CYR" w:hAnsi="Times New Roman CYR" w:cs="Times New Roman CYR"/>
          <w:sz w:val="24"/>
          <w:szCs w:val="24"/>
        </w:rPr>
        <w:t xml:space="preserve"> бар </w:t>
      </w:r>
      <w:proofErr w:type="spellStart"/>
      <w:r w:rsidRPr="00225005">
        <w:rPr>
          <w:rFonts w:ascii="Times New Roman CYR" w:hAnsi="Times New Roman CYR" w:cs="Times New Roman CYR"/>
          <w:sz w:val="24"/>
          <w:szCs w:val="24"/>
        </w:rPr>
        <w:t>адал</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өндіруші</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кәсіпорындарды</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ынталандыратынына</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және</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бизнестің</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барлық</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қатысушылары</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үшін</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тең</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жағдай</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жасауға</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ықпал</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ететініне</w:t>
      </w:r>
      <w:proofErr w:type="spellEnd"/>
      <w:r w:rsidRPr="00225005">
        <w:rPr>
          <w:rFonts w:ascii="Times New Roman CYR" w:hAnsi="Times New Roman CYR" w:cs="Times New Roman CYR"/>
          <w:sz w:val="24"/>
          <w:szCs w:val="24"/>
        </w:rPr>
        <w:t xml:space="preserve"> </w:t>
      </w:r>
      <w:proofErr w:type="spellStart"/>
      <w:r w:rsidRPr="00225005">
        <w:rPr>
          <w:rFonts w:ascii="Times New Roman CYR" w:hAnsi="Times New Roman CYR" w:cs="Times New Roman CYR"/>
          <w:sz w:val="24"/>
          <w:szCs w:val="24"/>
        </w:rPr>
        <w:t>сенімді</w:t>
      </w:r>
      <w:proofErr w:type="spellEnd"/>
      <w:r w:rsidRPr="00225005">
        <w:rPr>
          <w:rFonts w:ascii="Times New Roman CYR" w:hAnsi="Times New Roman CYR" w:cs="Times New Roman CYR"/>
          <w:sz w:val="24"/>
          <w:szCs w:val="24"/>
        </w:rPr>
        <w:t>.</w:t>
      </w:r>
      <w:bookmarkStart w:id="0" w:name="_GoBack"/>
      <w:bookmarkEnd w:id="0"/>
    </w:p>
    <w:sectPr w:rsidR="0044743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C5"/>
    <w:rsid w:val="00225005"/>
    <w:rsid w:val="00447436"/>
    <w:rsid w:val="005C23C5"/>
    <w:rsid w:val="00CB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esinicina</dc:creator>
  <cp:lastModifiedBy>Карбаев Бахтияр Ерканатоич</cp:lastModifiedBy>
  <cp:revision>3</cp:revision>
  <dcterms:created xsi:type="dcterms:W3CDTF">2022-04-29T04:28:00Z</dcterms:created>
  <dcterms:modified xsi:type="dcterms:W3CDTF">2022-04-29T04:31:00Z</dcterms:modified>
</cp:coreProperties>
</file>