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24" w:rsidRPr="00373A24" w:rsidRDefault="00373A24" w:rsidP="00373A24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</w:pPr>
      <w:r w:rsidRPr="00373A24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>Ірі бизнес субъектілдерінен мемлекеттік бюджетке 3 трлн. теңгенеден аса түскен</w:t>
      </w:r>
    </w:p>
    <w:p w:rsidR="00373A24" w:rsidRDefault="00373A24" w:rsidP="00373A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373A24" w:rsidRPr="00E1712D" w:rsidRDefault="00373A24" w:rsidP="00373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Мониторингте тұрған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343 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 ірі бизнес субъектілері болып табылады, оның ішінде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98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 – жер қойнауын пайдаланушылар,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244 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– экономиканың әр түрлі секторларындағы ірі салық төлеушілер, оларға мемлекеттік бюджетке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43,7%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 - және республикалық бюджетке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51%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 - дан астам салық түсімдер тиесілі.</w:t>
      </w:r>
      <w:r w:rsidR="008D6C7C">
        <w:rPr>
          <w:rFonts w:ascii="Times New Roman" w:hAnsi="Times New Roman" w:cs="Times New Roman"/>
          <w:sz w:val="28"/>
          <w:szCs w:val="28"/>
          <w:lang w:val="kk-KZ"/>
        </w:rPr>
        <w:t xml:space="preserve"> Бұл туралы Орталық коммуникациялар қызметінде өткен баспасөз конференциясында Мемлекеттік кірістер комитеті ірі салық төлеушілер департаментінің директоры Ануар Сүлейменов хабарлады.</w:t>
      </w:r>
    </w:p>
    <w:p w:rsidR="00373A24" w:rsidRPr="00E1712D" w:rsidRDefault="00373A24" w:rsidP="00373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Мәселен, ағымдағы жылғы 9 айдың қорытындысы бойынша ірі бизнес субъектілерінен мемлекеттік бюджетке түсетін түсімдер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1 270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млрд.теңгеге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36%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-ға ұлғайып,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3 302,3 млрд. теңгені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 құрады.</w:t>
      </w:r>
    </w:p>
    <w:p w:rsidR="00373A24" w:rsidRPr="00E1712D" w:rsidRDefault="00373A24" w:rsidP="00373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бюджетке түсімдер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840,1 млрд.теңгеге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50%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-ға ұлғайып, 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2 520,7 млрд. теңгені</w:t>
      </w:r>
      <w:r w:rsidRPr="00E1712D">
        <w:rPr>
          <w:rFonts w:ascii="Times New Roman" w:hAnsi="Times New Roman" w:cs="Times New Roman"/>
          <w:sz w:val="28"/>
          <w:szCs w:val="28"/>
          <w:lang w:val="kk-KZ"/>
        </w:rPr>
        <w:t xml:space="preserve"> құрады.</w:t>
      </w:r>
    </w:p>
    <w:p w:rsidR="00373A24" w:rsidRPr="00E1712D" w:rsidRDefault="00373A24" w:rsidP="00373A24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</w:pP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>Экономика секторлары бойынша түсімдердің барынша ұлғаюы мынадай:</w:t>
      </w:r>
    </w:p>
    <w:p w:rsidR="00373A24" w:rsidRPr="00E1712D" w:rsidRDefault="00373A24" w:rsidP="00373A24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</w:pP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- көтерме және бөлшек сауда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26%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-ға немесе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274,8 млрд. теңгеге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 өсті;</w:t>
      </w:r>
    </w:p>
    <w:p w:rsidR="00373A24" w:rsidRPr="00E1712D" w:rsidRDefault="00373A24" w:rsidP="00373A24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</w:pP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- өңдеу өнеркәсібі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17,4%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-ға немесе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184,8 млрд. теңгеге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 өсті;</w:t>
      </w:r>
    </w:p>
    <w:p w:rsidR="00373A24" w:rsidRPr="00E1712D" w:rsidRDefault="00373A24" w:rsidP="00373A24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</w:pP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- қаржы және сақтандыру қызметі, жылжымайтын мүлікпен операциялар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14,2%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-ға немесе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151 млрд. теңгеге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 өсті;</w:t>
      </w:r>
    </w:p>
    <w:p w:rsidR="00373A24" w:rsidRPr="00E1712D" w:rsidRDefault="00373A24" w:rsidP="00373A24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</w:pP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- құбыржолы арқылы тасымалдау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38,7%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-ға немесе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33 млрд.теңгеге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 өсті.</w:t>
      </w:r>
    </w:p>
    <w:p w:rsidR="00373A24" w:rsidRPr="00E1712D" w:rsidRDefault="00373A24" w:rsidP="00373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712D">
        <w:rPr>
          <w:rFonts w:ascii="Times New Roman" w:hAnsi="Times New Roman" w:cs="Times New Roman"/>
          <w:sz w:val="28"/>
          <w:szCs w:val="28"/>
          <w:lang w:val="kk-KZ"/>
        </w:rPr>
        <w:t>Түсімдердің ұлғаюы пандемиядан кейін экономиканы қалпына келтіру және салықтық әкімшілендіру сапасын жақсарту кезеңіне келді.</w:t>
      </w:r>
    </w:p>
    <w:p w:rsidR="00373A24" w:rsidRPr="00E1712D" w:rsidRDefault="00373A24" w:rsidP="00373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712D">
        <w:rPr>
          <w:rFonts w:ascii="Times New Roman" w:hAnsi="Times New Roman" w:cs="Times New Roman"/>
          <w:sz w:val="28"/>
          <w:szCs w:val="28"/>
          <w:lang w:val="kk-KZ"/>
        </w:rPr>
        <w:t>Әкімшілендіру сапасының жақсаруына тәуекелдерді бағалау жүйесі ақпараттық жүйесін пайдалана отырып, салықтық тексерулерді тағайындау әсер етті.</w:t>
      </w:r>
    </w:p>
    <w:p w:rsidR="00373A24" w:rsidRPr="00E1712D" w:rsidRDefault="00373A24" w:rsidP="00373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712D">
        <w:rPr>
          <w:rFonts w:ascii="Times New Roman" w:hAnsi="Times New Roman" w:cs="Times New Roman"/>
          <w:sz w:val="28"/>
          <w:szCs w:val="28"/>
          <w:lang w:val="kk-KZ"/>
        </w:rPr>
        <w:t>Осы жүйені қолдану тәуекел дәрежесін бағалау көрсеткіштері негізінде салықтық тексерулер үшін ірі бизнес субъектілерін нақты іріктеуге мүмкіндік берді, мұнда тексерулер тәуекелдің жоғары дәрежесіне жатқызылған салық төлеушілерге қатысты тағайындалады.</w:t>
      </w:r>
    </w:p>
    <w:p w:rsidR="00373A24" w:rsidRPr="00E1712D" w:rsidRDefault="00373A24" w:rsidP="00373A24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</w:pP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Жалпы, 2021 жылғы 9 айда ірі салық төлеушілерді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34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 салықтық тексеру аяқталды.</w:t>
      </w:r>
    </w:p>
    <w:p w:rsidR="00373A24" w:rsidRPr="00E1712D" w:rsidRDefault="00373A24" w:rsidP="00373A24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i/>
          <w:iCs/>
          <w:color w:val="548DD4" w:themeColor="text2" w:themeTint="99"/>
          <w:kern w:val="24"/>
          <w:lang w:val="kk-KZ"/>
        </w:rPr>
      </w:pP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Жүргізілген тексерулердің нәтижесі бойынша </w:t>
      </w:r>
      <w:r w:rsidRPr="00E1712D">
        <w:rPr>
          <w:rFonts w:ascii="Times New Roman" w:eastAsia="Tahoma" w:hAnsi="Times New Roman" w:cs="Times New Roman"/>
          <w:b/>
          <w:iCs/>
          <w:kern w:val="24"/>
          <w:sz w:val="28"/>
          <w:szCs w:val="28"/>
          <w:lang w:val="kk-KZ"/>
        </w:rPr>
        <w:t>46,5 млрд.теңге</w:t>
      </w:r>
      <w:r w:rsidRPr="00E1712D">
        <w:rPr>
          <w:rFonts w:ascii="Times New Roman" w:eastAsia="Tahoma" w:hAnsi="Times New Roman" w:cs="Times New Roman"/>
          <w:iCs/>
          <w:kern w:val="24"/>
          <w:sz w:val="28"/>
          <w:szCs w:val="28"/>
          <w:lang w:val="kk-KZ"/>
        </w:rPr>
        <w:t xml:space="preserve"> салықтар мен өсімпұлдар қоса есептелді.</w:t>
      </w:r>
    </w:p>
    <w:p w:rsidR="00373A24" w:rsidRPr="00E1712D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3A24" w:rsidRDefault="00373A24" w:rsidP="00373A2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1712D" w:rsidRPr="00E1712D" w:rsidRDefault="00E1712D" w:rsidP="00E1712D">
      <w:pPr>
        <w:spacing w:after="0" w:line="240" w:lineRule="auto"/>
        <w:ind w:firstLine="720"/>
        <w:contextualSpacing/>
        <w:jc w:val="center"/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  <w:lang w:val="kk-KZ"/>
        </w:rPr>
      </w:pP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Более </w:t>
      </w:r>
      <w:r w:rsidRPr="00E1712D">
        <w:rPr>
          <w:rFonts w:ascii="Times New Roman" w:hAnsi="Times New Roman" w:cs="Times New Roman"/>
          <w:b/>
          <w:sz w:val="28"/>
          <w:szCs w:val="28"/>
        </w:rPr>
        <w:t>3 </w:t>
      </w:r>
      <w:r w:rsidRPr="00E1712D">
        <w:rPr>
          <w:rFonts w:ascii="Times New Roman" w:hAnsi="Times New Roman" w:cs="Times New Roman"/>
          <w:b/>
          <w:sz w:val="28"/>
          <w:szCs w:val="28"/>
          <w:lang w:val="kk-KZ"/>
        </w:rPr>
        <w:t>трлн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тенге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поступ</w:t>
      </w:r>
      <w:proofErr w:type="spellEnd"/>
      <w:r w:rsidRPr="00E1712D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 xml:space="preserve">ило в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государственный бюджет от субъектов крупного бизнеса</w:t>
      </w:r>
    </w:p>
    <w:p w:rsidR="00E1712D" w:rsidRPr="00E1712D" w:rsidRDefault="00E1712D" w:rsidP="00E1712D">
      <w:pPr>
        <w:spacing w:after="0" w:line="240" w:lineRule="auto"/>
        <w:ind w:firstLine="720"/>
        <w:contextualSpacing/>
        <w:jc w:val="both"/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</w:pPr>
    </w:p>
    <w:p w:rsidR="00E1712D" w:rsidRPr="008D6C7C" w:rsidRDefault="00E1712D" w:rsidP="00E1712D">
      <w:pPr>
        <w:spacing w:after="0" w:line="240" w:lineRule="auto"/>
        <w:ind w:firstLine="720"/>
        <w:contextualSpacing/>
        <w:jc w:val="both"/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</w:pPr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  <w:t>С</w:t>
      </w:r>
      <w:proofErr w:type="spellStart"/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>убъектами</w:t>
      </w:r>
      <w:proofErr w:type="spellEnd"/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 xml:space="preserve"> крупного бизнеса, состоящим на мониторинге являются </w:t>
      </w:r>
      <w:r w:rsidRPr="00E1712D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</w:rPr>
        <w:t>342</w:t>
      </w:r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 xml:space="preserve"> налогоплательщика, из которых </w:t>
      </w:r>
      <w:r w:rsidRPr="00E1712D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</w:rPr>
        <w:t>98</w:t>
      </w:r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 xml:space="preserve"> – </w:t>
      </w:r>
      <w:proofErr w:type="spellStart"/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>недропользователей</w:t>
      </w:r>
      <w:proofErr w:type="spellEnd"/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 xml:space="preserve">, </w:t>
      </w:r>
      <w:r w:rsidRPr="00E1712D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</w:rPr>
        <w:t>244</w:t>
      </w:r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 xml:space="preserve"> – крупные налогоплательщики из различных секторов экономики, на которых приходится </w:t>
      </w:r>
      <w:r w:rsidRPr="00E1712D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</w:rPr>
        <w:t>43,7%</w:t>
      </w:r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 xml:space="preserve"> налоговых поступлений в государственный бюджет и более </w:t>
      </w:r>
      <w:r w:rsidRPr="00E1712D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</w:rPr>
        <w:t xml:space="preserve">51% </w:t>
      </w:r>
      <w:r w:rsidRPr="00E1712D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</w:rPr>
        <w:t>в республиканский бюджет.</w:t>
      </w:r>
      <w:r w:rsidR="008D6C7C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  <w:t xml:space="preserve"> Об этом сообщил на пресс-конференции в СЦК директор департамента крупных налогоплательщиков КГД Ануар Сулейменов.</w:t>
      </w:r>
      <w:bookmarkStart w:id="0" w:name="_GoBack"/>
      <w:bookmarkEnd w:id="0"/>
    </w:p>
    <w:p w:rsidR="00E1712D" w:rsidRPr="00E1712D" w:rsidRDefault="00E1712D" w:rsidP="00E171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Так, по итогам 9 месяцев текущего года поступления от субъектов крупного бизнеса в государственный бюджет увеличились на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1 270 млрд. тенге</w:t>
      </w: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или на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36% </w:t>
      </w: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>и составили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1712D">
        <w:rPr>
          <w:rFonts w:ascii="Times New Roman" w:hAnsi="Times New Roman" w:cs="Times New Roman"/>
          <w:b/>
          <w:sz w:val="28"/>
          <w:szCs w:val="28"/>
        </w:rPr>
        <w:t xml:space="preserve">3 302,3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млрд. тенге</w:t>
      </w: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E1712D" w:rsidRPr="00E1712D" w:rsidRDefault="00E1712D" w:rsidP="00E171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Поступления в республиканский бюджет увеличились на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840,1 млрд. тенге</w:t>
      </w: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или на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50%</w:t>
      </w: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составили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2 520,7 млрд. тенге</w:t>
      </w: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E1712D" w:rsidRPr="00E1712D" w:rsidRDefault="00E1712D" w:rsidP="00E1712D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>По секторам экономики наибольшее увеличение поступлений выглядит следующим образом:</w:t>
      </w:r>
    </w:p>
    <w:p w:rsidR="00E1712D" w:rsidRPr="00E1712D" w:rsidRDefault="00E1712D" w:rsidP="00E1712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оптовая и розничная торговля рост на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26</w:t>
      </w: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% или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274,8 млрд. тенге</w:t>
      </w: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; </w:t>
      </w:r>
    </w:p>
    <w:p w:rsidR="00E1712D" w:rsidRPr="00E1712D" w:rsidRDefault="00E1712D" w:rsidP="00E1712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обрабатывающая промышленность рост на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17,4%</w:t>
      </w: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или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184,8 млрд. тенге</w:t>
      </w: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; </w:t>
      </w:r>
    </w:p>
    <w:p w:rsidR="00E1712D" w:rsidRPr="00E1712D" w:rsidRDefault="00E1712D" w:rsidP="00E1712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70C0"/>
          <w:szCs w:val="28"/>
          <w:lang w:val="ru-RU" w:eastAsia="ru-RU"/>
        </w:rPr>
      </w:pP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финансовая и страховая деятельность, операции с недвижимым имуществом рост на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14,2%</w:t>
      </w: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или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151 млрд. тенге</w:t>
      </w: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>;</w:t>
      </w:r>
    </w:p>
    <w:p w:rsidR="00E1712D" w:rsidRPr="00E1712D" w:rsidRDefault="00E1712D" w:rsidP="00E1712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70C0"/>
          <w:szCs w:val="28"/>
          <w:lang w:val="ru-RU" w:eastAsia="ru-RU"/>
        </w:rPr>
      </w:pP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транспортировка по трубопроводу рост на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38,7%</w:t>
      </w: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или </w:t>
      </w:r>
      <w:r w:rsidRPr="00E1712D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33 млрд. тенге</w:t>
      </w:r>
      <w:r w:rsidRPr="00E1712D">
        <w:rPr>
          <w:rFonts w:ascii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E1712D" w:rsidRPr="00E1712D" w:rsidRDefault="00E1712D" w:rsidP="00E1712D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1712D">
        <w:rPr>
          <w:rFonts w:ascii="Times New Roman" w:hAnsi="Times New Roman" w:cs="Times New Roman"/>
          <w:iCs/>
          <w:sz w:val="28"/>
          <w:szCs w:val="28"/>
          <w:lang w:eastAsia="ru-RU"/>
        </w:rPr>
        <w:t>Увеличение поступлений пришлось на период восстановления экономики после пандемии и улучшения качества налогового администрирования.</w:t>
      </w:r>
    </w:p>
    <w:p w:rsidR="00E1712D" w:rsidRPr="00E1712D" w:rsidRDefault="00E1712D" w:rsidP="00E1712D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улучшение качества администрирования повлияло назначение налоговых проверок с использованием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информационной системы управления рисками</w:t>
      </w:r>
      <w:r w:rsidRPr="00E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712D" w:rsidRPr="00E1712D" w:rsidRDefault="00E1712D" w:rsidP="00E1712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12D">
        <w:rPr>
          <w:iCs/>
          <w:sz w:val="28"/>
          <w:szCs w:val="28"/>
        </w:rPr>
        <w:t>Применение данной системы позволило точечно отбирать субъектов крупного бизнеса для налоговых проверок, на основе показателей оценки степени риска, где проверки назначаются в отношении налогоплательщиков</w:t>
      </w:r>
      <w:r w:rsidRPr="00E1712D">
        <w:rPr>
          <w:sz w:val="28"/>
          <w:szCs w:val="28"/>
        </w:rPr>
        <w:t xml:space="preserve">, отнесенных к высокой степени риска. </w:t>
      </w:r>
    </w:p>
    <w:p w:rsidR="00E1712D" w:rsidRPr="00E1712D" w:rsidRDefault="00E1712D" w:rsidP="00E1712D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1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з</w:t>
      </w:r>
      <w:r w:rsidRPr="00E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9 месяцев 2021 года завершено </w:t>
      </w:r>
      <w:r w:rsidRPr="00E171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34</w:t>
      </w:r>
      <w:r w:rsidRPr="00E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налоговые проверки крупных налогоплательщиков/</w:t>
      </w:r>
    </w:p>
    <w:p w:rsidR="00E1712D" w:rsidRPr="00E1712D" w:rsidRDefault="00E1712D" w:rsidP="00E1712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проведенных проверок </w:t>
      </w:r>
      <w:proofErr w:type="spellStart"/>
      <w:r w:rsidRPr="00E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доначислено</w:t>
      </w:r>
      <w:proofErr w:type="spellEnd"/>
      <w:r w:rsidRPr="00E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 и пени – </w:t>
      </w:r>
      <w:r w:rsidRPr="00E171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46,5 млрд. тенге</w:t>
      </w:r>
      <w:r w:rsidRPr="00E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A3995" w:rsidRDefault="00DA3995" w:rsidP="00E1712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1712D" w:rsidRDefault="00E1712D" w:rsidP="00E1712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1712D" w:rsidRDefault="00E1712D" w:rsidP="00E1712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1712D" w:rsidRDefault="00E1712D" w:rsidP="00E1712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1712D" w:rsidRDefault="00E1712D" w:rsidP="00E1712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1712D" w:rsidRDefault="00E1712D" w:rsidP="00E1712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1712D" w:rsidRDefault="00E1712D" w:rsidP="00E1712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1712D" w:rsidRPr="00E1712D" w:rsidRDefault="00E1712D" w:rsidP="00E1712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sectPr w:rsidR="00E1712D" w:rsidRPr="00E1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E7"/>
    <w:multiLevelType w:val="hybridMultilevel"/>
    <w:tmpl w:val="901883B6"/>
    <w:lvl w:ilvl="0" w:tplc="954E4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2D"/>
    <w:rsid w:val="00373A24"/>
    <w:rsid w:val="008D6C7C"/>
    <w:rsid w:val="00DA3995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2D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E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2D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E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2</cp:revision>
  <dcterms:created xsi:type="dcterms:W3CDTF">2021-10-25T10:49:00Z</dcterms:created>
  <dcterms:modified xsi:type="dcterms:W3CDTF">2021-10-25T10:49:00Z</dcterms:modified>
</cp:coreProperties>
</file>