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  <w:bookmarkStart w:id="0" w:name="_GoBack"/>
      <w:r w:rsidRPr="00A27705"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  <w:t xml:space="preserve">Жалақыдан бірыңғай төлем 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Бөлшек салықтың арнаулы салық режиміне көшуді шешкен салық төлеушілерге жалақыдан Бірыңғай төлемді қолдану құқығы беріледі. Бірыңғай төлемді микро және шағын кәсіпкерлік субъектілері қолдана алады. 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Сондай-ақ, Бірыңғай төлемді 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арнаул</w:t>
      </w:r>
      <w:r w:rsidR="00AC7B15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ы салық режимдерінде жұмыс істейтін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жеңілдетілген декларация</w:t>
      </w:r>
      <w:r w:rsidR="00AC7B15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, шаруа және фермер қожалықтары мен ауыл шаруашы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лығы тауарын өндіруші салық төлеушілер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пайдалана алады.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2023 жылы 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ЖБТ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мөлшерлемесі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AC7B15" w:rsidRPr="009423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еңбекақы төлеу қорының 20%.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Ставканы кезең – кезеңімен ұлғайту көзделген: 2024 жылы – 21,5%, 2025 жылы – 23,8%, 2026 жылы – 24,8%, 2027 жылы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AC7B15" w:rsidRPr="009423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</w:t>
      </w:r>
      <w:r w:rsidR="00AC7B1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25,8% және 2028 жылы</w:t>
      </w:r>
      <w:r w:rsidR="00AC7B1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AC7B15" w:rsidRPr="009423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</w:t>
      </w:r>
      <w:r w:rsidR="00AC7B1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26,3%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Бірыңғай төлемді есептеу кезінде әлеуметтік төлемдер бойынша белгіл</w:t>
      </w:r>
      <w:r w:rsidR="006F4058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енген жеңілдіктер ескеріледі, ЖБ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Т сомасы жеңілдікті әлеуметтік төлемдердің тиісті үлесіне азаяды.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Бірыңғай төлем төлемдерді белгіленген тәртіпке сәйкес бөлетін және бірыңғай төлемнің салық төл</w:t>
      </w:r>
      <w:r w:rsidR="006F4058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еушілерінің есебін жүргізетін «Азаматтарға арналған үкімет»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6F4058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М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емлекеттік корпорациясының шотына бір төлеммен аударылады.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Бірыңғай төлемге (2023 жылға арналған үлестердің мөлшері)енгізіледі: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1.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ab/>
      </w:r>
      <w:r w:rsidR="00C9294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Жеке табыс салығы </w:t>
      </w:r>
      <w:r w:rsidR="00C92946" w:rsidRPr="009423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</w:t>
      </w:r>
      <w:r w:rsidR="00C9294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9%;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2.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ab/>
      </w:r>
      <w:r w:rsidR="00C9294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Міндетті зейнетақы жарналары </w:t>
      </w:r>
      <w:r w:rsidR="00C92946" w:rsidRPr="009423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</w:t>
      </w:r>
      <w:r w:rsidR="00C9294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50%;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3.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ab/>
        <w:t>Әлеуметтік аударымдар – 16%;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4.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ab/>
        <w:t xml:space="preserve">Жұмыс берушінің </w:t>
      </w:r>
      <w:r w:rsidR="00C9294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міндетті зейнетақы жарналары </w:t>
      </w:r>
      <w:r w:rsidR="00C92946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–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0%;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5.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ab/>
        <w:t>Міндетті әлеуметтік медициналық сақтандыруға жарналар</w:t>
      </w:r>
      <w:r w:rsidR="00C9294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C92946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–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10%;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6.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ab/>
        <w:t>Міндетті әлеуметтік меди</w:t>
      </w:r>
      <w:r w:rsidR="00C9294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циналық сақтандыруға аударымдар </w:t>
      </w:r>
      <w:r w:rsidR="00C92946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– </w:t>
      </w:r>
      <w:r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10%.</w:t>
      </w:r>
    </w:p>
    <w:p w:rsidR="00416EE2" w:rsidRPr="00A27705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A27705" w:rsidRDefault="007E3063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А</w:t>
      </w:r>
      <w:r w:rsidRPr="007E3063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заматтық-құқықтық сипаттағы шарт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416EE2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бойынша төлемдерге жалпыға бірдей белгі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ленген тәртіппен салық салынады және</w:t>
      </w:r>
      <w:r w:rsidR="00416EE2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тиісті қосымшаны толтыру қажет.</w:t>
      </w:r>
    </w:p>
    <w:p w:rsidR="007E3063" w:rsidRDefault="007E3063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Default="007E3063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Ал, е</w:t>
      </w:r>
      <w:r w:rsidR="00416EE2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гер қызметкер еңбек сіңірген зейнеткер болса, онда бұл жағдайда ол 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міндетті зейнетақы жарнаралын</w:t>
      </w:r>
      <w:r w:rsidR="00416EE2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төлемейді, бірақ оның </w:t>
      </w:r>
      <w:r w:rsidRPr="007E3063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әлеуметтік аударымдар</w:t>
      </w:r>
      <w:r w:rsidR="00416EE2" w:rsidRPr="00A2770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төлеу міндеттемесі бар. </w:t>
      </w:r>
    </w:p>
    <w:p w:rsidR="007E3063" w:rsidRPr="00A27705" w:rsidRDefault="007E3063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416EE2" w:rsidRPr="007E3063" w:rsidRDefault="00416EE2" w:rsidP="004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</w:pPr>
      <w:r w:rsidRPr="007E3063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Мысалы</w:t>
      </w:r>
      <w:r w:rsidRPr="007E30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kk-KZ" w:eastAsia="ru-RU"/>
        </w:rPr>
        <w:t>,</w:t>
      </w:r>
      <w:r w:rsidRP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 xml:space="preserve"> егер мұндай қызметкердің (зейнеткерді</w:t>
      </w:r>
      <w:r w:rsid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>ң) жалақысы 100 мың теңге болса,</w:t>
      </w:r>
      <w:r w:rsidRP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 xml:space="preserve"> </w:t>
      </w:r>
      <w:r w:rsid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>ЖБТ</w:t>
      </w:r>
      <w:r w:rsidRP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 xml:space="preserve"> 20 мың теңге болуы тиіс еді, бірақ егер ол МЗЖ төлемесе, онда </w:t>
      </w:r>
      <w:r w:rsid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 xml:space="preserve">ЖБТ </w:t>
      </w:r>
      <w:r w:rsidRPr="007E3063">
        <w:rPr>
          <w:rFonts w:ascii="Times New Roman" w:eastAsia="Times New Roman" w:hAnsi="Times New Roman" w:cs="Times New Roman"/>
          <w:bCs/>
          <w:i/>
          <w:sz w:val="26"/>
          <w:szCs w:val="26"/>
          <w:lang w:val="kk-KZ" w:eastAsia="ru-RU"/>
        </w:rPr>
        <w:t xml:space="preserve"> 10 мың теңгені құрайды. Әрбір қызметкер-зейнеткер бойынша деректер декларацияға 3-қосымшада көрсетіледі, төлемдер бойынша сомалар дөңгелектенбейді.</w:t>
      </w:r>
      <w:bookmarkEnd w:id="0"/>
    </w:p>
    <w:p w:rsidR="00416EE2" w:rsidRPr="00A27705" w:rsidRDefault="00416EE2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416EE2" w:rsidRPr="00A27705" w:rsidRDefault="00416EE2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416EE2" w:rsidRDefault="00416EE2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7E3063" w:rsidRPr="00A27705" w:rsidRDefault="007E3063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416EE2" w:rsidRPr="00A27705" w:rsidRDefault="00416EE2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416EE2" w:rsidRPr="00A27705" w:rsidRDefault="00416EE2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</w:p>
    <w:p w:rsidR="005F4E80" w:rsidRPr="00A27705" w:rsidRDefault="00416EE2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eastAsia="ru-RU"/>
        </w:rPr>
        <w:lastRenderedPageBreak/>
        <w:t xml:space="preserve">Единый платеж </w:t>
      </w:r>
      <w:r w:rsidR="005F4E80" w:rsidRPr="00A27705">
        <w:rPr>
          <w:rFonts w:ascii="Times New Roman" w:eastAsia="Times New Roman" w:hAnsi="Times New Roman" w:cs="Times New Roman"/>
          <w:b/>
          <w:bCs/>
          <w:color w:val="0072BC"/>
          <w:sz w:val="26"/>
          <w:szCs w:val="26"/>
          <w:lang w:eastAsia="ru-RU"/>
        </w:rPr>
        <w:t>с заработной платы</w:t>
      </w:r>
    </w:p>
    <w:p w:rsidR="005F4E80" w:rsidRPr="00A27705" w:rsidRDefault="005F4E80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Налогоплательщикам, решившим перейти на </w:t>
      </w:r>
      <w:r w:rsidRPr="00A2770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специальный налоговый режим 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розничного налога, дается право применить Единый платеж с заработной платы (ЕПЗП). Единый платеж могут применять субъекты микро</w:t>
      </w:r>
      <w:r w:rsidRPr="00A2770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малого предпринимательства. Также Единым платежом могут воспользоваться налогоплательщики, работающие в специальных налоговых режимах по упрощенной декларации, крестьянских и фермерских хозяйств и </w:t>
      </w:r>
      <w:proofErr w:type="spell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сельхозтоваропроизводители</w:t>
      </w:r>
      <w:proofErr w:type="spell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E80" w:rsidRPr="00A27705" w:rsidRDefault="005F4E80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7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ЕПЗП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– </w:t>
      </w:r>
      <w:r w:rsidRPr="00A27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20%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фонда оплаты труда.</w:t>
      </w:r>
    </w:p>
    <w:p w:rsidR="005F4E80" w:rsidRPr="00A27705" w:rsidRDefault="005F4E80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Предусмотрено поэтапное увеличение ставки: в 2024 г. – 21,5%, 2025 г. – 23,8%, 2026 г. – 24,8%, 2027 г. – 25,8% и в 2028 г. – 26,3%</w:t>
      </w:r>
    </w:p>
    <w:p w:rsidR="005F4E80" w:rsidRPr="00A27705" w:rsidRDefault="005F4E80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исчислении единого платежа учитываются льготы, установленные по социальным платежам, сумма ЕПЗП уменьшается на соответствующую долю </w:t>
      </w:r>
      <w:proofErr w:type="spell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льготируемых</w:t>
      </w:r>
      <w:proofErr w:type="spell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spellEnd"/>
      <w:r w:rsidRPr="00A2770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иальных 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платежей.</w:t>
      </w:r>
    </w:p>
    <w:p w:rsidR="005F4E80" w:rsidRPr="00A27705" w:rsidRDefault="005F4E80" w:rsidP="005F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Единый платеж перечисляется одним платежом на счет Государственной корпорации «Правительство для граждан», которая будет распределять платежи в соответствии с установленным порядком и вести учет налогоплательщиков единого платежа.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7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единый платеж включаются (размер долей на 2023 г.):</w:t>
      </w:r>
    </w:p>
    <w:p w:rsidR="005F4E80" w:rsidRPr="00A27705" w:rsidRDefault="00C92946" w:rsidP="005F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Индивидуальный подоходный налог</w:t>
      </w:r>
      <w:r w:rsidR="005F4E80"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9%;</w:t>
      </w:r>
    </w:p>
    <w:p w:rsidR="005F4E80" w:rsidRPr="00A27705" w:rsidRDefault="00C92946" w:rsidP="005F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Обязательные пенсионные взносы</w:t>
      </w:r>
      <w:r w:rsidR="005F4E80"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50%;</w:t>
      </w:r>
    </w:p>
    <w:p w:rsidR="005F4E80" w:rsidRPr="00A27705" w:rsidRDefault="005F4E80" w:rsidP="005F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отчисления – 16%;</w:t>
      </w:r>
    </w:p>
    <w:p w:rsidR="005F4E80" w:rsidRPr="00A27705" w:rsidRDefault="00C92946" w:rsidP="005F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Обязательные пенсионные взносы </w:t>
      </w:r>
      <w:r w:rsidR="005F4E80"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 – 0%;</w:t>
      </w:r>
    </w:p>
    <w:p w:rsidR="005F4E80" w:rsidRPr="00A27705" w:rsidRDefault="005F4E80" w:rsidP="005F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Взносы на </w:t>
      </w:r>
      <w:proofErr w:type="gram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</w:t>
      </w:r>
      <w:proofErr w:type="gram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соцмедстрахование</w:t>
      </w:r>
      <w:proofErr w:type="spell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10%;</w:t>
      </w:r>
    </w:p>
    <w:p w:rsidR="005F4E80" w:rsidRPr="00A27705" w:rsidRDefault="005F4E80" w:rsidP="005F4E8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Отчисления на </w:t>
      </w:r>
      <w:proofErr w:type="gram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</w:t>
      </w:r>
      <w:proofErr w:type="gram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соцмедстрахование</w:t>
      </w:r>
      <w:proofErr w:type="spell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10%.</w:t>
      </w:r>
    </w:p>
    <w:p w:rsidR="005F4E80" w:rsidRPr="00A27705" w:rsidRDefault="005F4E80" w:rsidP="005F4E80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Выплаты по договорам ГПХ облагаются в общеустановленном порядке, надо заполнять соответствующее приложение.</w:t>
      </w:r>
    </w:p>
    <w:p w:rsidR="005F4E80" w:rsidRPr="00A27705" w:rsidRDefault="005F4E80" w:rsidP="005F4E80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работник является пенсионером по выслуге лет, то в этом случае он ОПВ не платит, но у него есть обязательство по уплате </w:t>
      </w:r>
      <w:proofErr w:type="gramStart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835BB" w:rsidRPr="00A27705" w:rsidRDefault="005F4E80" w:rsidP="005F4E80">
      <w:pPr>
        <w:jc w:val="both"/>
        <w:rPr>
          <w:sz w:val="26"/>
          <w:szCs w:val="26"/>
        </w:rPr>
      </w:pPr>
      <w:r w:rsidRPr="00A27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Например</w:t>
      </w:r>
      <w:r w:rsidRPr="00A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7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если у такого работника (пенсионера) зарплата 100 тыс. </w:t>
      </w:r>
      <w:proofErr w:type="spellStart"/>
      <w:r w:rsidRPr="00A277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тг</w:t>
      </w:r>
      <w:proofErr w:type="spellEnd"/>
      <w:r w:rsidRPr="00A277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., ЕПЗП должен был быть 20 тыс. тенге, но если он ОПВ не платит, то тогда ЕПЗП составит 10 тыс. тенге. Данные по каждому работнику-пенсионеру отражаются в Приложении 3 к Декларации, суммы по платежам не округляются.</w:t>
      </w:r>
    </w:p>
    <w:sectPr w:rsidR="00E835BB" w:rsidRPr="00A2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E6F"/>
    <w:multiLevelType w:val="multilevel"/>
    <w:tmpl w:val="8B5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D43AC"/>
    <w:multiLevelType w:val="multilevel"/>
    <w:tmpl w:val="B8D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80"/>
    <w:rsid w:val="000F532D"/>
    <w:rsid w:val="0014447C"/>
    <w:rsid w:val="00416EE2"/>
    <w:rsid w:val="0059159D"/>
    <w:rsid w:val="005F4E80"/>
    <w:rsid w:val="006F4058"/>
    <w:rsid w:val="007E3063"/>
    <w:rsid w:val="009423B5"/>
    <w:rsid w:val="00A27705"/>
    <w:rsid w:val="00AC7B15"/>
    <w:rsid w:val="00C92946"/>
    <w:rsid w:val="00D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2023-07-31T06:44:00Z</dcterms:created>
  <dcterms:modified xsi:type="dcterms:W3CDTF">2023-07-31T06:44:00Z</dcterms:modified>
</cp:coreProperties>
</file>