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53" w:rsidRPr="003B1753" w:rsidRDefault="003B1753" w:rsidP="003B1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1753">
        <w:rPr>
          <w:rFonts w:ascii="Times New Roman" w:hAnsi="Times New Roman" w:cs="Times New Roman"/>
          <w:b/>
          <w:sz w:val="24"/>
          <w:szCs w:val="24"/>
        </w:rPr>
        <w:t xml:space="preserve">Жеке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тұлғалардың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атына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Еуразиялық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экономикалық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одақтың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кедендік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аумағына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тасымалдаушы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жеткізетін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немесе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халықаралық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пошта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жөнелтілімдерімен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жіберілетін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жеке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B1753">
        <w:rPr>
          <w:rFonts w:ascii="Times New Roman" w:hAnsi="Times New Roman" w:cs="Times New Roman"/>
          <w:b/>
          <w:sz w:val="24"/>
          <w:szCs w:val="24"/>
        </w:rPr>
        <w:t>пайдалану</w:t>
      </w:r>
      <w:proofErr w:type="gramEnd"/>
      <w:r w:rsidRPr="003B1753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бажсыз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әкелудің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құндық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шегін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арттыру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баспасөз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b/>
          <w:sz w:val="24"/>
          <w:szCs w:val="24"/>
        </w:rPr>
        <w:t>хабарламасы</w:t>
      </w:r>
      <w:proofErr w:type="spellEnd"/>
      <w:r w:rsidRPr="003B1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53" w:rsidRPr="003B1753" w:rsidRDefault="003B1753" w:rsidP="003B1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7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753" w:rsidRDefault="003B1753" w:rsidP="003B17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«Жеке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тауарларға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желтоқсандағы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№ 107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шешіміне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» 2022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наурыздағы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№ 35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шешімін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қабылдады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753" w:rsidRDefault="003B1753" w:rsidP="003B17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наурыздан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күшіне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енеді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наурызда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1753" w:rsidRDefault="003B1753" w:rsidP="003B17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Шешімде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қазанға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аумағына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тасымалдаушы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жеткізетін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почта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жөнелтілімдерімен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жіберілетін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бажсыз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әкелудің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құндық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шегін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евродан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евроға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салмақ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шегі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шектерде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– 31 кг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753" w:rsidRDefault="003B1753" w:rsidP="003B17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аумағына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тасымалдаушы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жеткізетін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жөнелтілімдерімен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еуро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31 кг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шегінде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жіберілетін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тауарларға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төлемдер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салынбайды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7B3" w:rsidRPr="003B1753" w:rsidRDefault="003B1753" w:rsidP="003B17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– 2022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қазанға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ұлғайтылды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, 2022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наурыздан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қазанға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сәлемдеменің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1000 евро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сомасынан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кетсе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31 кг-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құнның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мөлшерінде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құнның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салмақ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нормасының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кетуі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бөлігінде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1 кг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евродан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баж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төлеуі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53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3B175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3B1753" w:rsidRPr="003B1753" w:rsidRDefault="003B1753" w:rsidP="003B1753">
      <w:pPr>
        <w:rPr>
          <w:rFonts w:ascii="Times New Roman" w:hAnsi="Times New Roman" w:cs="Times New Roman"/>
        </w:rPr>
      </w:pPr>
    </w:p>
    <w:p w:rsidR="003B1753" w:rsidRPr="003B1753" w:rsidRDefault="003B1753" w:rsidP="003B17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53">
        <w:rPr>
          <w:rFonts w:ascii="Times New Roman" w:hAnsi="Times New Roman" w:cs="Times New Roman"/>
          <w:b/>
          <w:sz w:val="24"/>
          <w:szCs w:val="24"/>
        </w:rPr>
        <w:t xml:space="preserve">По повышению стоимостного порога беспошлинного ввоза товаров для личного пользования, доставляемых перевозчиком или пересылаемых в международных почтовых отправлениях на таможенную территорию Евразийского экономического союза в адрес физических лиц </w:t>
      </w:r>
    </w:p>
    <w:p w:rsidR="003B1753" w:rsidRPr="003B1753" w:rsidRDefault="003B1753" w:rsidP="003B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753">
        <w:rPr>
          <w:rFonts w:ascii="Times New Roman" w:hAnsi="Times New Roman" w:cs="Times New Roman"/>
          <w:sz w:val="24"/>
          <w:szCs w:val="24"/>
        </w:rPr>
        <w:t xml:space="preserve"> Советом Евразийской экономической комиссии принято Решение от 17 марта 2022 года № 35 «О внесении изменений в Решение Совета Евразийской экономической комиссии от 20 декабря 2017 года № 107 «Об отдельных вопросах, связанных с товарами для личного пользования». </w:t>
      </w:r>
    </w:p>
    <w:p w:rsidR="003B1753" w:rsidRPr="003B1753" w:rsidRDefault="003B1753" w:rsidP="003B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753">
        <w:rPr>
          <w:rFonts w:ascii="Times New Roman" w:hAnsi="Times New Roman" w:cs="Times New Roman"/>
          <w:sz w:val="24"/>
          <w:szCs w:val="24"/>
        </w:rPr>
        <w:t xml:space="preserve">Решение вступает в силу по истечении 10 календарных дней с даты его официального опубликования, т. е. с 31 марта 2022 года (опубликовано на официальном сайте Евразийской экономической комиссии 21 марта 2022 г.). </w:t>
      </w:r>
    </w:p>
    <w:p w:rsidR="003B1753" w:rsidRPr="003B1753" w:rsidRDefault="003B1753" w:rsidP="003B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753">
        <w:rPr>
          <w:rFonts w:ascii="Times New Roman" w:hAnsi="Times New Roman" w:cs="Times New Roman"/>
          <w:sz w:val="24"/>
          <w:szCs w:val="24"/>
        </w:rPr>
        <w:t xml:space="preserve">Решением предусмотрено повышение стоимостных порогов беспошлинного ввоза товаров для личного пользования, доставляемых перевозчиком или пересылаемых в международных почтовых отправлениях на таможенную территорию Евразийского экономического союза, с 200 евро до 1000 евро до  1 октября 2022 года. При этом весовой порог остается в существующих пределах – до 31 кг. </w:t>
      </w:r>
    </w:p>
    <w:p w:rsidR="003B1753" w:rsidRPr="003B1753" w:rsidRDefault="003B1753" w:rsidP="003B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753">
        <w:rPr>
          <w:rFonts w:ascii="Times New Roman" w:hAnsi="Times New Roman" w:cs="Times New Roman"/>
          <w:sz w:val="24"/>
          <w:szCs w:val="24"/>
        </w:rPr>
        <w:t xml:space="preserve">В указанный период товары для личного пользования, доставляемые перевозчиком или пересылаемые в международных почтовых отправлениях на таможенную территорию Евразийского экономического союза в пределах 1000 евро и 31 кг., не подлежат обложению таможенными платежами. </w:t>
      </w:r>
    </w:p>
    <w:p w:rsidR="003B1753" w:rsidRPr="00F823CF" w:rsidRDefault="003B1753" w:rsidP="00F82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753">
        <w:rPr>
          <w:rFonts w:ascii="Times New Roman" w:hAnsi="Times New Roman" w:cs="Times New Roman"/>
          <w:sz w:val="24"/>
          <w:szCs w:val="24"/>
        </w:rPr>
        <w:t xml:space="preserve">Данный порог увеличен на временной основе – до 1 октября 2022 года. </w:t>
      </w:r>
      <w:proofErr w:type="gramStart"/>
      <w:r w:rsidRPr="003B1753">
        <w:rPr>
          <w:rFonts w:ascii="Times New Roman" w:hAnsi="Times New Roman" w:cs="Times New Roman"/>
          <w:sz w:val="24"/>
          <w:szCs w:val="24"/>
        </w:rPr>
        <w:t>Таким образом, в период с 31 марта до 1 октября 2022 года, в случае если стоимость посылки превышает сумму 1000 евро и (или) ее вес составляет более 31 кг., получателю необходимо уплатить таможенную пошлину в размере 15% от стоимости, но не менее 2 евро за 1 кг веса в части превышения сто</w:t>
      </w:r>
      <w:r w:rsidR="00F823CF">
        <w:rPr>
          <w:rFonts w:ascii="Times New Roman" w:hAnsi="Times New Roman" w:cs="Times New Roman"/>
          <w:sz w:val="24"/>
          <w:szCs w:val="24"/>
        </w:rPr>
        <w:t>имостной и (или) весовой норм.</w:t>
      </w:r>
      <w:proofErr w:type="gramEnd"/>
    </w:p>
    <w:sectPr w:rsidR="003B1753" w:rsidRPr="00F823CF" w:rsidSect="003B17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A8" w:rsidRDefault="00212CA8" w:rsidP="00B97F68">
      <w:pPr>
        <w:spacing w:after="0" w:line="240" w:lineRule="auto"/>
      </w:pPr>
      <w:r>
        <w:separator/>
      </w:r>
    </w:p>
  </w:endnote>
  <w:endnote w:type="continuationSeparator" w:id="0">
    <w:p w:rsidR="00212CA8" w:rsidRDefault="00212CA8" w:rsidP="00B9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A8" w:rsidRDefault="00212CA8" w:rsidP="00B97F68">
      <w:pPr>
        <w:spacing w:after="0" w:line="240" w:lineRule="auto"/>
      </w:pPr>
      <w:r>
        <w:separator/>
      </w:r>
    </w:p>
  </w:footnote>
  <w:footnote w:type="continuationSeparator" w:id="0">
    <w:p w:rsidR="00212CA8" w:rsidRDefault="00212CA8" w:rsidP="00B9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53"/>
    <w:rsid w:val="00212CA8"/>
    <w:rsid w:val="003B1753"/>
    <w:rsid w:val="00A92F8D"/>
    <w:rsid w:val="00B97F68"/>
    <w:rsid w:val="00E93CB3"/>
    <w:rsid w:val="00F823CF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F68"/>
  </w:style>
  <w:style w:type="paragraph" w:styleId="a6">
    <w:name w:val="footer"/>
    <w:basedOn w:val="a"/>
    <w:link w:val="a7"/>
    <w:uiPriority w:val="99"/>
    <w:unhideWhenUsed/>
    <w:rsid w:val="00B9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F68"/>
  </w:style>
  <w:style w:type="paragraph" w:styleId="a6">
    <w:name w:val="footer"/>
    <w:basedOn w:val="a"/>
    <w:link w:val="a7"/>
    <w:uiPriority w:val="99"/>
    <w:unhideWhenUsed/>
    <w:rsid w:val="00B9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2022-03-29T10:54:00Z</dcterms:created>
  <dcterms:modified xsi:type="dcterms:W3CDTF">2022-03-29T10:54:00Z</dcterms:modified>
</cp:coreProperties>
</file>