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9B" w:rsidRPr="00CC259B" w:rsidRDefault="00CC259B" w:rsidP="00CC25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25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Механизм восстановления платежеспособности и банкротства физических лиц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3 марта 2023 года в стране действует Закон Республики Казахстан «О восстановлении платежеспособности и банкротстве граждан Республики Казахстан» </w:t>
      </w:r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(далее - Закон)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  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 предлагает 3 процедуры для решения вопросов с долгами физических лиц: внесудебное банкротство, судебное банкротство и восстановление платежеспособности.     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Процедуру внесудебного банкротства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применить по долгам менее 1 600 МРП перед банками,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микрофинансовыми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организациями и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коллекторскими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агентствами</w:t>
      </w:r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(долг не более 5,9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млн</w:t>
      </w:r>
      <w:proofErr w:type="gram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.т</w:t>
      </w:r>
      <w:proofErr w:type="gram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енге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Заявление подается в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ЦОНах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через портал электронного правительства (eGov.kz.), а также через мобильные приложения e-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Salyq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Azamat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eGov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Mobile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   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Процедура длится 6 месяцев, после </w:t>
      </w:r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завершения</w:t>
      </w:r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которой обязательства банкрота подлежат прекращению.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введения</w:t>
      </w:r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действие Закона признаны банкротами – </w:t>
      </w: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13 384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 на сумму </w:t>
      </w: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29,6 млрд., 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6 612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 проводится процедура.   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Судебное банкротство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граждане могут применить, если долг перед банками,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микрофинансовыми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организациями и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коллекторскими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агентствами свыше 1600 МРП или по иным долгам, независимо от суммы, а также при наличии имущества.  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Процедура восстановления платежеспособности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предусматривает возможность получения в суде рассрочки на оплату долгов (до 5 лет). Преимуществом данной процедуры является то, что после него человек не обретает статус «банкрот», следовательно, на него не распространяются последствия, предусмотренные для банкрота.   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применением процедуры судебного банкротства и процедуры восстановления платежеспособности обратились более 2,6 тысяч граждан. Процедура </w:t>
      </w: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судебного банкротства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проводится в отношении </w:t>
      </w: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200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должников. </w:t>
      </w: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Восстанавливают платежеспособность -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граждан.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мы видим, из представленных сведений, положения Закона нашли свою целевую аудиторию.   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Вместе с тем, правоприменительная практика указала на необходимость упрощения процедур.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связи с чем, 19 июня 2024 года подписаны поправки в Закон, которые предусматривают:  </w:t>
      </w:r>
    </w:p>
    <w:p w:rsidR="00CC259B" w:rsidRPr="00CC259B" w:rsidRDefault="00CC259B" w:rsidP="00CC25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пересмотр оснований применения процедур 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- для применения процедуры восстановления платежеспособности не является обязательным наличие просрочки по долгам и наличие имущества;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применить процедуру внесудебного банкротства можно по обязательствам перед всеми организациями, которым принадлежат права требования по договорам банковского займа, договорам займа (кредита) и договорам о предоставлении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микрокредита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физических лиц, в том числе лишенными лицензии, находящихся на стадии ликвидации, исключенными из соответствующего реестра.</w:t>
      </w:r>
    </w:p>
    <w:p w:rsidR="00CC259B" w:rsidRPr="00CC259B" w:rsidRDefault="00CC259B" w:rsidP="00CC25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упрощение подачи заявления на процедуру внесудебного банкротства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должник освобождается от обязанности указывать в заявлении сведения о кредиторе, о сумме долга и прилагать к нему какие-либо документы.</w:t>
      </w:r>
    </w:p>
    <w:p w:rsidR="00CC259B" w:rsidRPr="00CC259B" w:rsidRDefault="00CC259B" w:rsidP="00CC25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уточнение исчисления срока отсутствия платежа для применения процедур внесудебного и судебного банкротства 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платежи по долгам менее 1 МРП не будут считаться погашением, а срок отсутствия погашения по договорам, уступленным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коллекторскому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агентству, будут исчисляться </w:t>
      </w:r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</w:t>
      </w:r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последнего платежа до уступки права (требования).</w:t>
      </w:r>
    </w:p>
    <w:p w:rsidR="00CC259B" w:rsidRPr="00CC259B" w:rsidRDefault="00CC259B" w:rsidP="00CC25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изменение срока проведения урегулирования 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срок отсутствия платежей составляет более 12-ти месяцев, не требуется проведение урегулирования долга.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поправки вводятся в действие с 25 августа 2024 года.</w:t>
      </w:r>
    </w:p>
    <w:bookmarkEnd w:id="0"/>
    <w:p w:rsidR="00CC259B" w:rsidRDefault="00CC259B" w:rsidP="00CC259B">
      <w:pPr>
        <w:pStyle w:val="1"/>
      </w:pPr>
      <w:r>
        <w:t xml:space="preserve">Жеке </w:t>
      </w:r>
      <w:proofErr w:type="spellStart"/>
      <w:r>
        <w:t>тұлғалардың</w:t>
      </w:r>
      <w:proofErr w:type="spellEnd"/>
      <w:r>
        <w:t xml:space="preserve"> </w:t>
      </w:r>
      <w:proofErr w:type="spellStart"/>
      <w:r>
        <w:t>төлем</w:t>
      </w:r>
      <w:proofErr w:type="spellEnd"/>
      <w:r>
        <w:t xml:space="preserve"> </w:t>
      </w:r>
      <w:proofErr w:type="spellStart"/>
      <w:r>
        <w:t>қабілеттілігін</w:t>
      </w:r>
      <w:proofErr w:type="spellEnd"/>
      <w:r>
        <w:t xml:space="preserve"> </w:t>
      </w:r>
      <w:proofErr w:type="spellStart"/>
      <w:r>
        <w:t>қалпына</w:t>
      </w:r>
      <w:proofErr w:type="spellEnd"/>
      <w:r>
        <w:t xml:space="preserve"> </w:t>
      </w:r>
      <w:proofErr w:type="spellStart"/>
      <w:r>
        <w:t>келтіру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банкроттығы</w:t>
      </w:r>
      <w:proofErr w:type="spellEnd"/>
      <w:r>
        <w:t xml:space="preserve"> </w:t>
      </w:r>
      <w:proofErr w:type="spellStart"/>
      <w:r>
        <w:t>механизмі</w:t>
      </w:r>
      <w:proofErr w:type="spellEnd"/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2023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жылғы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наурыздан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бастап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елімізде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Қазақстан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Республикасы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азаматтарының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төлем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қабілеттілігін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қалпына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келтіру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банкроттығы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туралы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Қазақстан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Республикасының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Заңы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бұдан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ә</w:t>
      </w:r>
      <w:proofErr w:type="gram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</w:t>
      </w:r>
      <w:proofErr w:type="gram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і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-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Заң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қолданыста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жеке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тұлғалардың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қарызымен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байланысты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мәселелерді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шешу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 3 </w:t>
      </w:r>
      <w:proofErr w:type="spellStart"/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әсім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ұсынады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соттан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банкроттық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сот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арқылы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банкроттық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төлем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қабілеттілігін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қалпына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келтіру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Соттан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тыс</w:t>
      </w:r>
      <w:proofErr w:type="spellEnd"/>
      <w:proofErr w:type="gram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банкроттық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рәсімін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банктер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микроқаржы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ұйымдары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коллекторлық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агенттіктер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алдындағы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борыштар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1 600 АЕК кем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болғанда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қолдануға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борыш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5,9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млн.теңгеден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аспайды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Өтініш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ХҚКО-да,  eGov.kz  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электрондық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үкімет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порталы,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сондай-ақ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e-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Salyq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Azamat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eGov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Mobile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мобильді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қосымшалары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арқылы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беріледі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әсім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6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айға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созылады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ол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аяқталғаннан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кейін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банкроттың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міндеттемелері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тоқтатылуға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жатады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қолданысқа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енгізілген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күннен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бастап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29,6 млрд.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сомаға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13 384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азамат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банкрот </w:t>
      </w:r>
      <w:proofErr w:type="spellStart"/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</w:t>
      </w:r>
      <w:proofErr w:type="spellEnd"/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танылды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6 612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азаматқа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қатысты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рәсім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жүргізілуде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  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Сот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арқылы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банкроттық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әсімін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азаматтар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егер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банктер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микроқаржы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ұйымдары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мен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коллекторлық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агенттіктер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алдындағы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борышы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1600 АЕК-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тен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асса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немесе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сомасына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қарамастан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өзге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борыштар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сондай-ақ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мүлкі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болған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кезде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қолдана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алады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Төлем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қабілеттілігін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қалпына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келтіру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proofErr w:type="gram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әсімі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сотта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қарыздарды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бөліп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төлеу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мүмкіндігін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(5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жылға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алуды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көздейді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Бұл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рәсімнің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артықшылығы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кейін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адамға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«банкрот»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мәртебесі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берілмейді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сондықтан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оған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банкрот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көзделген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салдарлар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қолданылмайды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Сот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арқылы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банкроттық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әсімін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төлем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қабілеттілігін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қалпына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келтіру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рәсімін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қолдануға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2,6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мыңнан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астам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азамат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жүгінді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Сот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арқылы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банкроттық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рәсімі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200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борышкерге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қатысты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жүргізілуде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Төлем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қабілеттілігін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қалпына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келтіруде</w:t>
      </w:r>
      <w:proofErr w:type="spellEnd"/>
      <w:r w:rsidRPr="00CC25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- 4</w:t>
      </w: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азамат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Ұсынылған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мәліметтерден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кө</w:t>
      </w:r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іп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отырғанымыздай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Заңның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ережелері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өзінің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мақсатты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аудиториясын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тапты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Сонымен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қатар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құқық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қолдану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практикасы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әсімдерді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оңайлату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қажеттігін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көрсетті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Осыған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байланысты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2024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жылғы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19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маусымда</w:t>
      </w:r>
      <w:proofErr w:type="spellEnd"/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аңға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түзетулерге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қойылды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олар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келесіні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көздейді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C259B" w:rsidRPr="00CC259B" w:rsidRDefault="00CC259B" w:rsidP="00CC25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</w:t>
      </w:r>
      <w:proofErr w:type="gram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әсімдерді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қолдану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негіздерін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қайта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қарау</w:t>
      </w:r>
      <w:proofErr w:type="spellEnd"/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төлем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қабілеттілігін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қалпына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келтіру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әсімін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қолдану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үшін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қарыздар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мерзімін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өткізіп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алудың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болуы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мүліктің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болуы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міндетті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болып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табылмайды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соттан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</w:t>
      </w:r>
      <w:proofErr w:type="spellEnd"/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банкроттық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рәсімін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жеке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тұлғалардың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банктік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қарыз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шарттары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қарыз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несиелік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шарттары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микрокредит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беру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туралы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шарттары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талап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ету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құқықтарына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ие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барлық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ұйымдар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соның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ішінде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лицензиясынан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айырылған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тарату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сатысында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тұрған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тиісті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тізілімнен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шығарылған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ұйымдар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алдындағы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міндеттемелер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қолдануға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259B" w:rsidRPr="00CC259B" w:rsidRDefault="00CC259B" w:rsidP="00CC25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соттан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proofErr w:type="gram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тыс</w:t>
      </w:r>
      <w:proofErr w:type="spellEnd"/>
      <w:proofErr w:type="gram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банкроттық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рәсіміне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өтініш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беруді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жеңілдету</w:t>
      </w:r>
      <w:proofErr w:type="spellEnd"/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борышкер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өтініште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кредитор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туралы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борыш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сомасы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туралы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мәліметтерді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көрсету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және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оған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қандай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бі</w:t>
      </w:r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құжаттарды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қоса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беру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міндетінен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босатылады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259B" w:rsidRPr="00CC259B" w:rsidRDefault="00CC259B" w:rsidP="00CC25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соттан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proofErr w:type="gram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тыс</w:t>
      </w:r>
      <w:proofErr w:type="spellEnd"/>
      <w:proofErr w:type="gram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және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сот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арқылы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банкроттық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рәсімдерін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қолдану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үшін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төлемнің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болмау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мерзімін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есептеуді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нақтылау</w:t>
      </w:r>
      <w:proofErr w:type="spellEnd"/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борыштары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АЕК-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тен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кем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төлемдер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өтеу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болып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есептелмейді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ал </w:t>
      </w:r>
      <w:proofErr w:type="spellStart"/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ал</w:t>
      </w:r>
      <w:proofErr w:type="spellEnd"/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коллекторлық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агенттікке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берілген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шарттар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бойынша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өтеудің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болмау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мерзімі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құқық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талап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берілгенге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соңғы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төлем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жасалғаннан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күннен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бастап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есептелетін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болады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259B" w:rsidRPr="00CC259B" w:rsidRDefault="00CC259B" w:rsidP="00CC25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реттеу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мерзі</w:t>
      </w:r>
      <w:proofErr w:type="gram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</w:t>
      </w:r>
      <w:proofErr w:type="gram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ін</w:t>
      </w:r>
      <w:proofErr w:type="spellEnd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өзгерту</w:t>
      </w:r>
      <w:proofErr w:type="spellEnd"/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егер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төлемдердің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болмау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мерзі</w:t>
      </w:r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12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айдан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асса,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қарызды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реттеу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талап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етілмейді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C259B" w:rsidRPr="00CC259B" w:rsidRDefault="00CC259B" w:rsidP="00CC25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Аталған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түзетулер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жылғы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25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тамыздан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бастап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</w:t>
      </w:r>
      <w:proofErr w:type="gram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олданыс</w:t>
      </w:r>
      <w:proofErr w:type="gram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қа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енгізіледі</w:t>
      </w:r>
      <w:proofErr w:type="spellEnd"/>
      <w:r w:rsidRPr="00CC259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B14DF" w:rsidRDefault="00DB14DF"/>
    <w:sectPr w:rsidR="00DB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18B"/>
    <w:multiLevelType w:val="multilevel"/>
    <w:tmpl w:val="95D46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A2C6F"/>
    <w:multiLevelType w:val="multilevel"/>
    <w:tmpl w:val="A0F46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332C0"/>
    <w:multiLevelType w:val="multilevel"/>
    <w:tmpl w:val="54AC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90ABF"/>
    <w:multiLevelType w:val="multilevel"/>
    <w:tmpl w:val="DF4E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51EDE"/>
    <w:multiLevelType w:val="multilevel"/>
    <w:tmpl w:val="C3040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61C2C"/>
    <w:multiLevelType w:val="multilevel"/>
    <w:tmpl w:val="DDB405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91B77"/>
    <w:multiLevelType w:val="multilevel"/>
    <w:tmpl w:val="B85AE9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929D3"/>
    <w:multiLevelType w:val="multilevel"/>
    <w:tmpl w:val="6D5CC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9B"/>
    <w:rsid w:val="00CC259B"/>
    <w:rsid w:val="00DB14DF"/>
    <w:rsid w:val="00F5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259B"/>
    <w:rPr>
      <w:i/>
      <w:iCs/>
    </w:rPr>
  </w:style>
  <w:style w:type="character" w:styleId="a5">
    <w:name w:val="Strong"/>
    <w:basedOn w:val="a0"/>
    <w:uiPriority w:val="22"/>
    <w:qFormat/>
    <w:rsid w:val="00CC25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5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259B"/>
    <w:rPr>
      <w:i/>
      <w:iCs/>
    </w:rPr>
  </w:style>
  <w:style w:type="character" w:styleId="a5">
    <w:name w:val="Strong"/>
    <w:basedOn w:val="a0"/>
    <w:uiPriority w:val="22"/>
    <w:qFormat/>
    <w:rsid w:val="00CC2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Эльмира Кайруллаевна</dc:creator>
  <cp:lastModifiedBy>Жунусова Эльмира Кайруллаевна</cp:lastModifiedBy>
  <cp:revision>2</cp:revision>
  <dcterms:created xsi:type="dcterms:W3CDTF">2024-07-19T11:42:00Z</dcterms:created>
  <dcterms:modified xsi:type="dcterms:W3CDTF">2024-07-19T11:42:00Z</dcterms:modified>
</cp:coreProperties>
</file>