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B5" w:rsidRPr="008878B5" w:rsidRDefault="008878B5" w:rsidP="007E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8B5">
        <w:rPr>
          <w:rFonts w:ascii="Times New Roman" w:hAnsi="Times New Roman" w:cs="Times New Roman"/>
          <w:b/>
          <w:sz w:val="26"/>
          <w:szCs w:val="26"/>
        </w:rPr>
        <w:t>Финансовая устойчивость</w:t>
      </w:r>
    </w:p>
    <w:p w:rsidR="00F85066" w:rsidRPr="00284806" w:rsidRDefault="00E63ACE" w:rsidP="00284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4806">
        <w:rPr>
          <w:rFonts w:ascii="Times New Roman" w:hAnsi="Times New Roman" w:cs="Times New Roman"/>
          <w:sz w:val="26"/>
          <w:szCs w:val="26"/>
        </w:rPr>
        <w:t xml:space="preserve">Департамент государственных доходов по </w:t>
      </w:r>
      <w:r w:rsidR="005A24C0" w:rsidRPr="00284806">
        <w:rPr>
          <w:rFonts w:ascii="Times New Roman" w:hAnsi="Times New Roman" w:cs="Times New Roman"/>
          <w:sz w:val="26"/>
          <w:szCs w:val="26"/>
        </w:rPr>
        <w:t>Карагандинской области</w:t>
      </w:r>
      <w:r w:rsidRPr="00284806">
        <w:rPr>
          <w:rFonts w:ascii="Times New Roman" w:hAnsi="Times New Roman" w:cs="Times New Roman"/>
          <w:sz w:val="26"/>
          <w:szCs w:val="26"/>
        </w:rPr>
        <w:t xml:space="preserve"> </w:t>
      </w:r>
      <w:r w:rsidR="005A24C0" w:rsidRPr="00284806">
        <w:rPr>
          <w:rFonts w:ascii="Times New Roman" w:hAnsi="Times New Roman" w:cs="Times New Roman"/>
          <w:sz w:val="26"/>
          <w:szCs w:val="26"/>
        </w:rPr>
        <w:t>сообщает</w:t>
      </w:r>
      <w:r w:rsidRPr="00284806">
        <w:rPr>
          <w:rFonts w:ascii="Times New Roman" w:hAnsi="Times New Roman" w:cs="Times New Roman"/>
          <w:sz w:val="26"/>
          <w:szCs w:val="26"/>
        </w:rPr>
        <w:t>, что</w:t>
      </w:r>
      <w:r w:rsidR="000B08C3" w:rsidRPr="00284806">
        <w:rPr>
          <w:rFonts w:ascii="Times New Roman" w:hAnsi="Times New Roman" w:cs="Times New Roman"/>
          <w:sz w:val="26"/>
          <w:szCs w:val="26"/>
        </w:rPr>
        <w:t xml:space="preserve"> в соответствии с Правилами </w:t>
      </w:r>
      <w:r w:rsidR="000B08C3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закупок отдельными субъектами </w:t>
      </w:r>
      <w:proofErr w:type="spellStart"/>
      <w:r w:rsidR="000B08C3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квазигосударствен</w:t>
      </w:r>
      <w:bookmarkStart w:id="0" w:name="_GoBack"/>
      <w:bookmarkEnd w:id="0"/>
      <w:r w:rsidR="000B08C3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proofErr w:type="spellEnd"/>
      <w:r w:rsidR="000B08C3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сектора, за исключением Фонда национального благосостояния и организаций Фонда национального благосостояния</w:t>
      </w:r>
      <w:r w:rsidR="004A0EF9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Приказом Министра Финансов Республики Казахстан </w:t>
      </w:r>
      <w:r w:rsidR="00F33C8D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3E29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30 ноября 2021 года № 1253</w:t>
      </w:r>
      <w:r w:rsidR="00B10A40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E29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F9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01.01.2022 </w:t>
      </w:r>
      <w:r w:rsidR="008878B5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8878B5" w:rsidRPr="00284806">
        <w:rPr>
          <w:rFonts w:ascii="Times New Roman" w:hAnsi="Times New Roman" w:cs="Times New Roman"/>
          <w:sz w:val="26"/>
          <w:szCs w:val="26"/>
        </w:rPr>
        <w:t>к</w:t>
      </w:r>
      <w:r w:rsidR="00F85066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потенциальным </w:t>
      </w:r>
      <w:r w:rsidR="008878B5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поставщикам предъявляется</w:t>
      </w:r>
      <w:r w:rsidR="00F85066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350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квалификационное</w:t>
      </w:r>
      <w:r w:rsidR="00C1331D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1D3350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331D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финансовой устойчивости</w:t>
      </w:r>
      <w:r w:rsidR="00F33C8D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 Финансовая устойчивость потенциального поставщика определяется веб-порталом автоматически на основании следующих сведений органов государственных доходов: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1) доходы;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2) уплаченные налоги;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3) основные средства;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4) фонд оплаты труда.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r w:rsid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Потенциальный поставщик, признается финансово устойчивым, если он соответствует в совокупности следующим условиям: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1) доходы потенциального поставщика в течение трех лет, предшествующих предыдущему году согласно данным информационных систем органов государственных доходов составляют </w:t>
      </w:r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</w:t>
      </w:r>
      <w:proofErr w:type="spellStart"/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четырестатысячекратного</w:t>
      </w:r>
      <w:proofErr w:type="spellEnd"/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размера месячного расчетного показателя</w:t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на соответствующий финансовый год или не менее одной второй части суммы, выделенной для осуществления закупки;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2) показатель уплаченных налогов в течение трех лет, предшествующих предыдущему году согласно данным информационных систем органов государственных доходов составляет </w:t>
      </w:r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менее трех процентов (3 %)</w:t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доходов потенциального поставщика, указанных в подпункте 1) настоящего пункта.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формуле: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ПУН = УН / Д х 100%,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где: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ПУН – показатель уплаченных налогов;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УН – сумма уплаченных налогов в течение трех лет, предшествующих предыдущему году согласно данным информационных систем органов государственных доходов;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Д – сумма доходов потенциального поставщика в течение трех лет, предшествующих предыдущему году согласно данным информационных систем органов государственных доходов;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3) среднегодовая стоимость основных средств потенциального поставщика в течение трех лет, предшествующих предыдущему году согласно данным информационных систем органов государственных доходов составляет </w:t>
      </w:r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</w:t>
      </w:r>
      <w:proofErr w:type="spellStart"/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четырестатысячекратного</w:t>
      </w:r>
      <w:proofErr w:type="spellEnd"/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размера месячного расчетного показателя</w:t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на соответствующий финансовый год или не менее одной пятнадцатой части суммы, выделенной для осуществления государственной закупки;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4) фонд оплаты труда работников потенциального поставщика в течение трех лет, предшествующих предыдущему году согласно данным информационных систем органов государственных доходов составляют </w:t>
      </w:r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</w:t>
      </w:r>
      <w:proofErr w:type="spellStart"/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четырестатысячекратного</w:t>
      </w:r>
      <w:proofErr w:type="spellEnd"/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размера месячного расчетного показателя</w:t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на соответствующий финансовый год или не менее одной пятнадцатой части суммы, выделенной для осуществления закупки.</w:t>
      </w:r>
    </w:p>
    <w:p w:rsidR="00654F8C" w:rsidRPr="00284806" w:rsidRDefault="00654F8C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органов государственных доходов, обновляются на веб-портале один раз в течение календарного года </w:t>
      </w:r>
      <w:r w:rsidRPr="0028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1 октября</w:t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предшествующего году применения данных</w:t>
      </w:r>
      <w:r w:rsidR="003C572E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для целей определения</w:t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финансовой устойчивости потенциального поставщика</w:t>
      </w:r>
      <w:r w:rsidR="003C572E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3ACE" w:rsidRPr="00284806" w:rsidRDefault="003C572E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5066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78B5" w:rsidRPr="008878B5" w:rsidRDefault="008878B5" w:rsidP="007E55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B5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lastRenderedPageBreak/>
        <w:t>Қаржылық тұрақтылық</w:t>
      </w:r>
    </w:p>
    <w:p w:rsidR="009970BA" w:rsidRPr="00284806" w:rsidRDefault="00920F31" w:rsidP="00284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Қарағанды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Қазақстан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Республикасы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қарашадағы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1253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бұйрығымен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бекітілген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Ұлттық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әл-ауқат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қоры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ұлттық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әл-ауқат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қоры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ұйымдарын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қоспағанда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жекелеген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субъектілерінің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сатып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жүзеге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асыру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қағидаларына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01.01.2022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берушілерге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53EEB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тұрақтылығын</w:t>
      </w:r>
      <w:proofErr w:type="spellEnd"/>
      <w:r w:rsidR="00F53EEB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түрінде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біліктілік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талабы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қойылатынын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хабарлайды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D77" w:rsidRPr="00284806" w:rsidRDefault="00E63ACE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берушінің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қаржылық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орнықтылығын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веб-портал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автоматты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түрде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мынадай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мәліметтері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негізінде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айқындайды</w:t>
      </w:r>
      <w:proofErr w:type="spellEnd"/>
      <w:r w:rsidR="006B4D77"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1)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2)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салықтар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құралдар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4)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еңбекақы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төлеу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қоры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D77" w:rsidRPr="00284806" w:rsidRDefault="006B4D77" w:rsidP="00284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жиынтығында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мынадай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шарттарға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келсе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1)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тиісті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жылына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есептік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көрсеткіштің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төрт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мөлшерінен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сатып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жүзеге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асыру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бөлігін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құрайтын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2)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салықтардың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көрсеткіші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тармақтың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тармақшасында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көрсетілген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пайызын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(3%)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құрайтын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орнықты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танылады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Осы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Қағидалардың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мақсаттары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салықтар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көрсеткішінің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есебі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мынадай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формула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айқындалады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ТСК = ТС / К х 100%,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ТСК –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салықтардың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көрсеткіші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ТС –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салықтар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сомасы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К –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ішіндегі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сомасы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құралдарының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орташа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құны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тиісті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жылына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есептік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көрсеткіштің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төрт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мөлшерінен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сатып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жүзеге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асыру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бөлігін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құрайтын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орнықты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танылады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D77" w:rsidRPr="00284806" w:rsidRDefault="006B4D77" w:rsidP="0028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4)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әлеуетті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өнім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жұмыскерлеріне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еңбекақы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төлеу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қоры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алдындағы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кірістер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органдарының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ақпараттық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жүйелерінің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деректеріне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тиісті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жылына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есептік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көрсеткіштің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төрт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еселенген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мөлшерінен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астам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сатып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жүзеге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асыру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бөлінген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соманың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кемінде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бестен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бөлігін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құрайтын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қаржылық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орнықты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танылады</w:t>
      </w:r>
      <w:proofErr w:type="spellEnd"/>
      <w:r w:rsidRPr="0028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D8C" w:rsidRPr="00284806" w:rsidRDefault="00D87D8C" w:rsidP="00284806">
      <w:pPr>
        <w:pStyle w:val="rtejustify"/>
        <w:spacing w:before="0" w:beforeAutospacing="0" w:after="0"/>
        <w:ind w:firstLine="708"/>
        <w:jc w:val="both"/>
        <w:rPr>
          <w:sz w:val="26"/>
          <w:szCs w:val="26"/>
        </w:rPr>
      </w:pPr>
      <w:proofErr w:type="spellStart"/>
      <w:r w:rsidRPr="00284806">
        <w:rPr>
          <w:sz w:val="26"/>
          <w:szCs w:val="26"/>
        </w:rPr>
        <w:t>Мемлекеттік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кірістер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органдарының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мәліметтері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әлеуетті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өнім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берушінің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қаржылық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тұрақтылығын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айқындау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мақсатында</w:t>
      </w:r>
      <w:proofErr w:type="spellEnd"/>
      <w:r w:rsidRPr="00284806">
        <w:rPr>
          <w:sz w:val="26"/>
          <w:szCs w:val="26"/>
        </w:rPr>
        <w:t xml:space="preserve"> осы </w:t>
      </w:r>
      <w:proofErr w:type="spellStart"/>
      <w:r w:rsidRPr="00284806">
        <w:rPr>
          <w:sz w:val="26"/>
          <w:szCs w:val="26"/>
        </w:rPr>
        <w:t>мәліметтерді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қолдану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жылының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алдындағы</w:t>
      </w:r>
      <w:proofErr w:type="spellEnd"/>
      <w:r w:rsidRPr="00284806">
        <w:rPr>
          <w:sz w:val="26"/>
          <w:szCs w:val="26"/>
        </w:rPr>
        <w:t xml:space="preserve"> 1 </w:t>
      </w:r>
      <w:proofErr w:type="spellStart"/>
      <w:r w:rsidRPr="00284806">
        <w:rPr>
          <w:sz w:val="26"/>
          <w:szCs w:val="26"/>
        </w:rPr>
        <w:t>қазаннан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кешіктірмей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күнтізбелік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жыл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ішінде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бір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рет</w:t>
      </w:r>
      <w:proofErr w:type="spellEnd"/>
      <w:r w:rsidRPr="00284806">
        <w:rPr>
          <w:sz w:val="26"/>
          <w:szCs w:val="26"/>
        </w:rPr>
        <w:t xml:space="preserve"> веб-</w:t>
      </w:r>
      <w:proofErr w:type="spellStart"/>
      <w:r w:rsidRPr="00284806">
        <w:rPr>
          <w:sz w:val="26"/>
          <w:szCs w:val="26"/>
        </w:rPr>
        <w:t>порталда</w:t>
      </w:r>
      <w:proofErr w:type="spellEnd"/>
      <w:r w:rsidRPr="00284806">
        <w:rPr>
          <w:sz w:val="26"/>
          <w:szCs w:val="26"/>
        </w:rPr>
        <w:t xml:space="preserve"> </w:t>
      </w:r>
      <w:proofErr w:type="spellStart"/>
      <w:r w:rsidRPr="00284806">
        <w:rPr>
          <w:sz w:val="26"/>
          <w:szCs w:val="26"/>
        </w:rPr>
        <w:t>жаңартылады</w:t>
      </w:r>
      <w:proofErr w:type="spellEnd"/>
      <w:r w:rsidRPr="00284806">
        <w:rPr>
          <w:sz w:val="26"/>
          <w:szCs w:val="26"/>
        </w:rPr>
        <w:t>.</w:t>
      </w:r>
    </w:p>
    <w:sectPr w:rsidR="00D87D8C" w:rsidRPr="00284806" w:rsidSect="00284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44" w:rsidRDefault="009B0A44" w:rsidP="00C31B32">
      <w:pPr>
        <w:spacing w:after="0" w:line="240" w:lineRule="auto"/>
      </w:pPr>
      <w:r>
        <w:separator/>
      </w:r>
    </w:p>
  </w:endnote>
  <w:endnote w:type="continuationSeparator" w:id="0">
    <w:p w:rsidR="009B0A44" w:rsidRDefault="009B0A44" w:rsidP="00C3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44" w:rsidRDefault="009B0A44" w:rsidP="00C31B32">
      <w:pPr>
        <w:spacing w:after="0" w:line="240" w:lineRule="auto"/>
      </w:pPr>
      <w:r>
        <w:separator/>
      </w:r>
    </w:p>
  </w:footnote>
  <w:footnote w:type="continuationSeparator" w:id="0">
    <w:p w:rsidR="009B0A44" w:rsidRDefault="009B0A44" w:rsidP="00C3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382"/>
    <w:multiLevelType w:val="multilevel"/>
    <w:tmpl w:val="CF4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E"/>
    <w:rsid w:val="00033E29"/>
    <w:rsid w:val="000B08C3"/>
    <w:rsid w:val="00124AB3"/>
    <w:rsid w:val="001B35E7"/>
    <w:rsid w:val="001D3350"/>
    <w:rsid w:val="001E4F98"/>
    <w:rsid w:val="002020CC"/>
    <w:rsid w:val="002265FF"/>
    <w:rsid w:val="00242F91"/>
    <w:rsid w:val="00250345"/>
    <w:rsid w:val="00284806"/>
    <w:rsid w:val="002D07A5"/>
    <w:rsid w:val="00330252"/>
    <w:rsid w:val="003A4F7B"/>
    <w:rsid w:val="003C572E"/>
    <w:rsid w:val="003F704B"/>
    <w:rsid w:val="004A0EF9"/>
    <w:rsid w:val="004B1C31"/>
    <w:rsid w:val="00572939"/>
    <w:rsid w:val="005A24C0"/>
    <w:rsid w:val="005A40BB"/>
    <w:rsid w:val="00654F8C"/>
    <w:rsid w:val="006B4D77"/>
    <w:rsid w:val="00733BF7"/>
    <w:rsid w:val="007738CE"/>
    <w:rsid w:val="007E5562"/>
    <w:rsid w:val="00861FF9"/>
    <w:rsid w:val="008878B5"/>
    <w:rsid w:val="008A2E04"/>
    <w:rsid w:val="00920F31"/>
    <w:rsid w:val="009970BA"/>
    <w:rsid w:val="009B0A44"/>
    <w:rsid w:val="00A9782E"/>
    <w:rsid w:val="00B10A40"/>
    <w:rsid w:val="00B33364"/>
    <w:rsid w:val="00B375FD"/>
    <w:rsid w:val="00C034EB"/>
    <w:rsid w:val="00C1331D"/>
    <w:rsid w:val="00C31B32"/>
    <w:rsid w:val="00C55C4A"/>
    <w:rsid w:val="00C72276"/>
    <w:rsid w:val="00C766C3"/>
    <w:rsid w:val="00C7732B"/>
    <w:rsid w:val="00D87D8C"/>
    <w:rsid w:val="00D95676"/>
    <w:rsid w:val="00DB5C96"/>
    <w:rsid w:val="00E63ACE"/>
    <w:rsid w:val="00E677B6"/>
    <w:rsid w:val="00EA19E1"/>
    <w:rsid w:val="00EF633D"/>
    <w:rsid w:val="00F33C8D"/>
    <w:rsid w:val="00F53EEB"/>
    <w:rsid w:val="00F57CED"/>
    <w:rsid w:val="00F85066"/>
    <w:rsid w:val="00FB5F50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3AC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8D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8878B5"/>
  </w:style>
  <w:style w:type="paragraph" w:styleId="a6">
    <w:name w:val="header"/>
    <w:basedOn w:val="a"/>
    <w:link w:val="a7"/>
    <w:uiPriority w:val="99"/>
    <w:unhideWhenUsed/>
    <w:rsid w:val="00C3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B32"/>
  </w:style>
  <w:style w:type="paragraph" w:styleId="a8">
    <w:name w:val="footer"/>
    <w:basedOn w:val="a"/>
    <w:link w:val="a9"/>
    <w:uiPriority w:val="99"/>
    <w:unhideWhenUsed/>
    <w:rsid w:val="00C3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3AC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8D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8878B5"/>
  </w:style>
  <w:style w:type="paragraph" w:styleId="a6">
    <w:name w:val="header"/>
    <w:basedOn w:val="a"/>
    <w:link w:val="a7"/>
    <w:uiPriority w:val="99"/>
    <w:unhideWhenUsed/>
    <w:rsid w:val="00C3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B32"/>
  </w:style>
  <w:style w:type="paragraph" w:styleId="a8">
    <w:name w:val="footer"/>
    <w:basedOn w:val="a"/>
    <w:link w:val="a9"/>
    <w:uiPriority w:val="99"/>
    <w:unhideWhenUsed/>
    <w:rsid w:val="00C3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Наталья Владимировна</dc:creator>
  <cp:lastModifiedBy>Карбаев Бахтияр Ерканатоич</cp:lastModifiedBy>
  <cp:revision>2</cp:revision>
  <cp:lastPrinted>2021-12-27T09:37:00Z</cp:lastPrinted>
  <dcterms:created xsi:type="dcterms:W3CDTF">2021-12-28T11:49:00Z</dcterms:created>
  <dcterms:modified xsi:type="dcterms:W3CDTF">2021-12-28T11:49:00Z</dcterms:modified>
</cp:coreProperties>
</file>