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66" w:rsidRPr="00EA1466" w:rsidRDefault="00EA1466" w:rsidP="00EA1466">
      <w:pPr>
        <w:pStyle w:val="a3"/>
        <w:rPr>
          <w:b/>
          <w:color w:val="000000"/>
          <w:sz w:val="28"/>
          <w:szCs w:val="28"/>
        </w:rPr>
      </w:pPr>
      <w:r w:rsidRPr="00EA1466">
        <w:rPr>
          <w:b/>
          <w:color w:val="000000"/>
          <w:sz w:val="28"/>
          <w:szCs w:val="28"/>
        </w:rPr>
        <w:t>Изменился порядок маркировки алкогольной продукции</w:t>
      </w:r>
    </w:p>
    <w:p w:rsidR="00EA1466" w:rsidRPr="00EA1466" w:rsidRDefault="00EA1466" w:rsidP="00EA1466">
      <w:pPr>
        <w:pStyle w:val="a3"/>
        <w:rPr>
          <w:color w:val="000000"/>
          <w:sz w:val="28"/>
          <w:szCs w:val="28"/>
        </w:rPr>
      </w:pPr>
      <w:r w:rsidRPr="00EA1466">
        <w:rPr>
          <w:color w:val="000000"/>
          <w:sz w:val="28"/>
          <w:szCs w:val="28"/>
        </w:rPr>
        <w:t xml:space="preserve">Внесены изменения по наклеиванию учетно-контрольной марки на жестяную тару </w:t>
      </w:r>
      <w:proofErr w:type="spellStart"/>
      <w:r w:rsidRPr="00EA1466">
        <w:rPr>
          <w:color w:val="000000"/>
          <w:sz w:val="28"/>
          <w:szCs w:val="28"/>
        </w:rPr>
        <w:t>слабоградусного</w:t>
      </w:r>
      <w:proofErr w:type="spellEnd"/>
      <w:r w:rsidRPr="00EA1466">
        <w:rPr>
          <w:color w:val="000000"/>
          <w:sz w:val="28"/>
          <w:szCs w:val="28"/>
        </w:rPr>
        <w:t xml:space="preserve"> ликероводочного изделия с крепостью менее двенадцати процентов.</w:t>
      </w:r>
      <w:r w:rsidRPr="00EA1466">
        <w:rPr>
          <w:color w:val="000000"/>
          <w:sz w:val="28"/>
          <w:szCs w:val="28"/>
        </w:rPr>
        <w:br/>
      </w:r>
      <w:r w:rsidRPr="00EA1466">
        <w:rPr>
          <w:sz w:val="28"/>
          <w:szCs w:val="28"/>
        </w:rPr>
        <w:br/>
      </w:r>
      <w:r w:rsidRPr="00EA1466">
        <w:rPr>
          <w:color w:val="000000"/>
          <w:sz w:val="28"/>
          <w:szCs w:val="28"/>
        </w:rPr>
        <w:t xml:space="preserve">В соответствии с пунктом 2 статьи 9 Закона Республики Казахстан «О государственном регулировании производства и оборота этилового спирта и алкогольной продукции» допускается оборот </w:t>
      </w:r>
      <w:proofErr w:type="spellStart"/>
      <w:r w:rsidRPr="00EA1466">
        <w:rPr>
          <w:color w:val="000000"/>
          <w:sz w:val="28"/>
          <w:szCs w:val="28"/>
        </w:rPr>
        <w:t>слабоградусного</w:t>
      </w:r>
      <w:proofErr w:type="spellEnd"/>
      <w:r w:rsidRPr="00EA1466">
        <w:rPr>
          <w:color w:val="000000"/>
          <w:sz w:val="28"/>
          <w:szCs w:val="28"/>
        </w:rPr>
        <w:t xml:space="preserve"> ликероводочного изделия с крепостью менее двенадцати процентов в жестяной таре. Вместе с тем, согласно п. 2 ст. 172 Налогового кодекса алкогольная продукция за исключением вина наливом и пивоваренной продукции, подлежит маркировке учетно-контрольными марками.</w:t>
      </w:r>
      <w:r w:rsidRPr="00EA1466">
        <w:rPr>
          <w:color w:val="000000"/>
          <w:sz w:val="28"/>
          <w:szCs w:val="28"/>
        </w:rPr>
        <w:br/>
      </w:r>
      <w:r w:rsidRPr="00EA1466">
        <w:rPr>
          <w:sz w:val="28"/>
          <w:szCs w:val="28"/>
        </w:rPr>
        <w:br/>
      </w:r>
      <w:r w:rsidRPr="00EA1466">
        <w:rPr>
          <w:color w:val="000000"/>
          <w:sz w:val="28"/>
          <w:szCs w:val="28"/>
        </w:rPr>
        <w:t xml:space="preserve">Для жестяной тары (металлических банок) требование о наклеивании учетно-контрольных марок на крышку тару невыполнимо, поскольку при вскрытии потребительской тары невозможно соблюдать требование о нарушении целостности учетно-контрольной марки. Такие требования </w:t>
      </w:r>
      <w:proofErr w:type="spellStart"/>
      <w:r w:rsidRPr="00EA1466">
        <w:rPr>
          <w:color w:val="000000"/>
          <w:sz w:val="28"/>
          <w:szCs w:val="28"/>
        </w:rPr>
        <w:t>устанавливась</w:t>
      </w:r>
      <w:proofErr w:type="spellEnd"/>
      <w:r w:rsidRPr="00EA1466">
        <w:rPr>
          <w:color w:val="000000"/>
          <w:sz w:val="28"/>
          <w:szCs w:val="28"/>
        </w:rPr>
        <w:t xml:space="preserve"> в целях исключения повторного использования учетно-контрольной марки.</w:t>
      </w:r>
      <w:r w:rsidRPr="00EA1466">
        <w:rPr>
          <w:color w:val="000000"/>
          <w:sz w:val="28"/>
          <w:szCs w:val="28"/>
        </w:rPr>
        <w:br/>
      </w:r>
      <w:r w:rsidRPr="00EA1466">
        <w:rPr>
          <w:sz w:val="28"/>
          <w:szCs w:val="28"/>
        </w:rPr>
        <w:br/>
      </w:r>
      <w:r w:rsidRPr="00EA1466">
        <w:rPr>
          <w:color w:val="000000"/>
          <w:sz w:val="28"/>
          <w:szCs w:val="28"/>
        </w:rPr>
        <w:t>В связи с чем в Правила внесено изменение в части исключения требования по наклеиванию учетно-контрольной марки на крышке жестяной тары. На жестяную тару марка приклеивается на боковую поверхность и должна обеспечивать ее идентификацию и считывание штрих-кодовой информации считывающим устройством.</w:t>
      </w:r>
      <w:r w:rsidRPr="00EA1466">
        <w:rPr>
          <w:color w:val="000000"/>
          <w:sz w:val="28"/>
          <w:szCs w:val="28"/>
        </w:rPr>
        <w:br/>
      </w:r>
      <w:r w:rsidRPr="00EA1466">
        <w:rPr>
          <w:sz w:val="28"/>
          <w:szCs w:val="28"/>
        </w:rPr>
        <w:br/>
      </w:r>
      <w:r w:rsidRPr="00EA1466">
        <w:rPr>
          <w:color w:val="000000"/>
          <w:sz w:val="28"/>
          <w:szCs w:val="28"/>
        </w:rPr>
        <w:t>14 ноября 2023 года внесены изменения в приказ Министра финансов Республики Казахстан от 8 февраля 2018 года № 143</w:t>
      </w:r>
      <w:r w:rsidRPr="00EA1466">
        <w:rPr>
          <w:color w:val="000000"/>
          <w:sz w:val="28"/>
          <w:szCs w:val="28"/>
        </w:rPr>
        <w:br/>
      </w:r>
      <w:r w:rsidRPr="00EA1466">
        <w:rPr>
          <w:sz w:val="28"/>
          <w:szCs w:val="28"/>
        </w:rPr>
        <w:br/>
      </w:r>
      <w:r w:rsidRPr="00EA1466">
        <w:rPr>
          <w:color w:val="000000"/>
          <w:sz w:val="28"/>
          <w:szCs w:val="28"/>
        </w:rPr>
        <w:t>«Об утверждении Правил маркировки (</w:t>
      </w:r>
      <w:proofErr w:type="spellStart"/>
      <w:r w:rsidRPr="00EA1466">
        <w:rPr>
          <w:color w:val="000000"/>
          <w:sz w:val="28"/>
          <w:szCs w:val="28"/>
        </w:rPr>
        <w:t>перемаркировки</w:t>
      </w:r>
      <w:proofErr w:type="spellEnd"/>
      <w:r w:rsidRPr="00EA1466">
        <w:rPr>
          <w:color w:val="000000"/>
          <w:sz w:val="28"/>
          <w:szCs w:val="28"/>
        </w:rPr>
        <w:t>) алкогольной продукции, за исключением вина наливом (виноматериал) и пивоваренной продукции, учетно-контрольными марками, а также формы, содержание и элементы защиты учетно-контрольных марок». Изменения вступают в силу по истечении десяти календарных дней после дня его первого официального опубликования.</w:t>
      </w:r>
    </w:p>
    <w:p w:rsidR="00EA1466" w:rsidRPr="00EA1466" w:rsidRDefault="00EA1466" w:rsidP="00EA146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1466" w:rsidRDefault="00EA1466" w:rsidP="00EA146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1466" w:rsidRDefault="00EA1466" w:rsidP="00EA146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1466" w:rsidRDefault="00EA1466" w:rsidP="00EA146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1466" w:rsidRDefault="00EA1466" w:rsidP="00EA146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1466" w:rsidRDefault="00EA1466" w:rsidP="00EA146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1466" w:rsidRDefault="00EA1466" w:rsidP="00EA146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1466" w:rsidRDefault="00EA1466" w:rsidP="00EA146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1466" w:rsidRDefault="00EA1466" w:rsidP="00EA146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1466" w:rsidRPr="00EA1466" w:rsidRDefault="00EA1466" w:rsidP="00EA1466">
      <w:pPr>
        <w:pStyle w:val="a4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r w:rsidRPr="00EA146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Алкоголь </w:t>
      </w:r>
      <w:proofErr w:type="spellStart"/>
      <w:r w:rsidRPr="00EA1466">
        <w:rPr>
          <w:rFonts w:ascii="Times New Roman" w:hAnsi="Times New Roman" w:cs="Times New Roman"/>
          <w:b/>
          <w:sz w:val="28"/>
          <w:szCs w:val="28"/>
          <w:lang w:eastAsia="ru-RU"/>
        </w:rPr>
        <w:t>өні</w:t>
      </w:r>
      <w:proofErr w:type="gramStart"/>
      <w:r w:rsidRPr="00EA1466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proofErr w:type="gramEnd"/>
      <w:r w:rsidRPr="00EA1466">
        <w:rPr>
          <w:rFonts w:ascii="Times New Roman" w:hAnsi="Times New Roman" w:cs="Times New Roman"/>
          <w:b/>
          <w:sz w:val="28"/>
          <w:szCs w:val="28"/>
          <w:lang w:eastAsia="ru-RU"/>
        </w:rPr>
        <w:t>ін</w:t>
      </w:r>
      <w:proofErr w:type="spellEnd"/>
      <w:r w:rsidRPr="00EA14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A1466">
        <w:rPr>
          <w:rFonts w:ascii="Times New Roman" w:hAnsi="Times New Roman" w:cs="Times New Roman"/>
          <w:b/>
          <w:sz w:val="28"/>
          <w:szCs w:val="28"/>
          <w:lang w:eastAsia="ru-RU"/>
        </w:rPr>
        <w:t>таңбалау</w:t>
      </w:r>
      <w:proofErr w:type="spellEnd"/>
      <w:r w:rsidRPr="00EA14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A1466">
        <w:rPr>
          <w:rFonts w:ascii="Times New Roman" w:hAnsi="Times New Roman" w:cs="Times New Roman"/>
          <w:b/>
          <w:sz w:val="28"/>
          <w:szCs w:val="28"/>
          <w:lang w:eastAsia="ru-RU"/>
        </w:rPr>
        <w:t>тәртібі</w:t>
      </w:r>
      <w:proofErr w:type="spellEnd"/>
      <w:r w:rsidRPr="00EA14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1466">
        <w:rPr>
          <w:rFonts w:ascii="Times New Roman" w:hAnsi="Times New Roman" w:cs="Times New Roman"/>
          <w:b/>
          <w:sz w:val="28"/>
          <w:szCs w:val="28"/>
          <w:lang w:val="kk-KZ" w:eastAsia="ru-RU"/>
        </w:rPr>
        <w:t>өзгерді</w:t>
      </w:r>
    </w:p>
    <w:p w:rsidR="00EA1466" w:rsidRPr="00ED1EE9" w:rsidRDefault="00EA1466" w:rsidP="00EA1466">
      <w:pPr>
        <w:pStyle w:val="a3"/>
        <w:rPr>
          <w:sz w:val="28"/>
          <w:szCs w:val="28"/>
          <w:lang w:val="kk-KZ"/>
        </w:rPr>
      </w:pPr>
      <w:r w:rsidRPr="00EA1466">
        <w:rPr>
          <w:color w:val="000000"/>
          <w:sz w:val="28"/>
          <w:szCs w:val="28"/>
          <w:lang w:val="kk-KZ"/>
        </w:rPr>
        <w:t>Күштілігі он екі пайыздан төмен әлсіз градусты ликер-арақ өнімдерінің қаңылтыр ыдысына есепке алу-бақылау маркаларын жапсыру бойынша өзгерістер енгізілді.</w:t>
      </w:r>
      <w:r w:rsidRPr="00EA1466">
        <w:rPr>
          <w:color w:val="000000"/>
          <w:sz w:val="28"/>
          <w:szCs w:val="28"/>
          <w:lang w:val="kk-KZ"/>
        </w:rPr>
        <w:br/>
      </w:r>
      <w:r w:rsidRPr="00EA1466">
        <w:rPr>
          <w:sz w:val="28"/>
          <w:szCs w:val="28"/>
          <w:lang w:val="kk-KZ"/>
        </w:rPr>
        <w:br/>
      </w:r>
      <w:r w:rsidRPr="00ED1EE9">
        <w:rPr>
          <w:color w:val="000000"/>
          <w:sz w:val="28"/>
          <w:szCs w:val="28"/>
          <w:lang w:val="kk-KZ"/>
        </w:rPr>
        <w:t>Қазақстан Республикасының «Этил спирті мен алкоголь өнімінің өндірілуін және айналымын мемлекеттік реттеу туралы» Заңының 9-бабының 2-тармағына сәйкес қаңылтыр ыдыста күштілігі он екі пайыздан төмен әлсіз градусты ликер-арақ өнімдерінің айналымы рұқсат етіледі. Сонымен бірге, Салық кодексінің 172-бабы 2-тармағына сәйкес, толысылған шарапты және сыра қайнату өнімін қоспағанда, алкоголь өнімі есепке алу-бақылау маркаларымен таңбалануы тиіс.</w:t>
      </w:r>
      <w:r w:rsidRPr="00ED1EE9">
        <w:rPr>
          <w:color w:val="000000"/>
          <w:sz w:val="28"/>
          <w:szCs w:val="28"/>
          <w:lang w:val="kk-KZ"/>
        </w:rPr>
        <w:br/>
      </w:r>
      <w:r w:rsidRPr="00ED1EE9">
        <w:rPr>
          <w:sz w:val="28"/>
          <w:szCs w:val="28"/>
          <w:lang w:val="kk-KZ"/>
        </w:rPr>
        <w:br/>
      </w:r>
      <w:r w:rsidRPr="00ED1EE9">
        <w:rPr>
          <w:color w:val="000000"/>
          <w:sz w:val="28"/>
          <w:szCs w:val="28"/>
          <w:lang w:val="kk-KZ"/>
        </w:rPr>
        <w:t>Қаңылтыр ыдысы (метал банкасы) үшін ыдыстың қақпағына есепке алу-бақылау маркаларын жапсыру бойынша талаптың орындалуы мүмкін емес, өйткені тұтыну ыдысын ашу кезінде есепке алу-бақылау таңбасының тұтастығын бұзу талабын сақтау мүмкін емес. Мұндай талаптар есепке алу-бақылау маркасын қайта пайдалануды болдырмау мақсатында белгіленген болатын.</w:t>
      </w:r>
      <w:r w:rsidRPr="00ED1EE9">
        <w:rPr>
          <w:color w:val="000000"/>
          <w:sz w:val="28"/>
          <w:szCs w:val="28"/>
          <w:lang w:val="kk-KZ"/>
        </w:rPr>
        <w:br/>
      </w:r>
      <w:r w:rsidRPr="00ED1EE9">
        <w:rPr>
          <w:sz w:val="28"/>
          <w:szCs w:val="28"/>
          <w:lang w:val="kk-KZ"/>
        </w:rPr>
        <w:br/>
      </w:r>
      <w:r w:rsidRPr="00ED1EE9">
        <w:rPr>
          <w:color w:val="000000"/>
          <w:sz w:val="28"/>
          <w:szCs w:val="28"/>
          <w:lang w:val="kk-KZ"/>
        </w:rPr>
        <w:t>Осыған байланысты ережеге қаңылтыр ыдыстың қақпағына есепке алу-бақылау маркасын жапсыру талабын алып тастайтын түзету енгізілді. Қаңылтыр ыдыста марка бүйірлік бетке жапсырылады және оның сәйкестендіру штрих-кодының ақпаратын оқылуды қамтамасыз етуі керек.</w:t>
      </w:r>
      <w:r w:rsidRPr="00ED1EE9">
        <w:rPr>
          <w:color w:val="000000"/>
          <w:sz w:val="28"/>
          <w:szCs w:val="28"/>
          <w:lang w:val="kk-KZ"/>
        </w:rPr>
        <w:br/>
      </w:r>
      <w:r w:rsidRPr="00ED1EE9">
        <w:rPr>
          <w:sz w:val="28"/>
          <w:szCs w:val="28"/>
          <w:lang w:val="kk-KZ"/>
        </w:rPr>
        <w:br/>
      </w:r>
      <w:r w:rsidRPr="00ED1EE9">
        <w:rPr>
          <w:color w:val="000000"/>
          <w:sz w:val="28"/>
          <w:szCs w:val="28"/>
          <w:lang w:val="kk-KZ"/>
        </w:rPr>
        <w:t>2023 жылғы 14 қарашада «Толысылған шарап (шарап материалын) және сыра қайнату өнімдерін қоспағанда, алкоголь өнімін есепке алу-бақылау маркаларымен таңбалау (қайта таңбалау) қағидаларын, сондай-ақ есепке алу-бақылау маркаларының нысанын, мазмұнын және қорғау элементтерін бекіту туралы» Қазақстан Республикасы Қаржы министрінің 2018 жылғы 8 ақпандағы № 143 бұйрығына өзгерістер енгізілді. Өзгерістер алғашқы ресми жарияланған күннен кейін күнтізбелік он күн өткен соң күшіне енеді</w:t>
      </w:r>
      <w:bookmarkEnd w:id="0"/>
    </w:p>
    <w:p w:rsidR="00EA1466" w:rsidRPr="00ED1EE9" w:rsidRDefault="00EA1466" w:rsidP="00EA1466">
      <w:pPr>
        <w:pStyle w:val="a3"/>
        <w:rPr>
          <w:sz w:val="28"/>
          <w:szCs w:val="28"/>
          <w:lang w:val="kk-KZ"/>
        </w:rPr>
      </w:pPr>
    </w:p>
    <w:p w:rsidR="006E77BF" w:rsidRPr="00ED1EE9" w:rsidRDefault="006E77BF">
      <w:pPr>
        <w:rPr>
          <w:lang w:val="kk-KZ"/>
        </w:rPr>
      </w:pPr>
    </w:p>
    <w:sectPr w:rsidR="006E77BF" w:rsidRPr="00ED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66"/>
    <w:rsid w:val="006E77BF"/>
    <w:rsid w:val="00EA1466"/>
    <w:rsid w:val="00ED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A14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14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EA14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A14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14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EA14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2023-11-21T10:32:00Z</dcterms:created>
  <dcterms:modified xsi:type="dcterms:W3CDTF">2023-11-21T10:32:00Z</dcterms:modified>
</cp:coreProperties>
</file>