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3"/>
        <w:gridCol w:w="827"/>
        <w:gridCol w:w="8713"/>
        <w:gridCol w:w="147"/>
      </w:tblGrid>
      <w:tr w:rsidR="00AC704B" w:rsidRPr="00AC704B" w:rsidTr="00485EBE">
        <w:trPr>
          <w:gridBefore w:val="1"/>
          <w:gridAfter w:val="1"/>
          <w:wBefore w:w="13" w:type="dxa"/>
          <w:wAfter w:w="147" w:type="dxa"/>
        </w:trPr>
        <w:tc>
          <w:tcPr>
            <w:tcW w:w="9540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24"/>
            </w:tblGrid>
            <w:tr w:rsidR="00E234EA" w:rsidTr="00E234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24" w:type="dxa"/>
                  <w:shd w:val="clear" w:color="auto" w:fill="auto"/>
                </w:tcPr>
                <w:p w:rsidR="00E234EA" w:rsidRDefault="00E234EA" w:rsidP="00485EBE">
                  <w:pPr>
                    <w:ind w:right="-108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ДГД-14-1-10/14336   от: 28.09.2018</w:t>
                  </w:r>
                </w:p>
                <w:p w:rsidR="00E234EA" w:rsidRPr="00E234EA" w:rsidRDefault="00E234EA" w:rsidP="00485EBE">
                  <w:pPr>
                    <w:ind w:right="-108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ДГД-14-1-10/14336   от: 28.09.2018</w:t>
                  </w:r>
                </w:p>
              </w:tc>
            </w:tr>
          </w:tbl>
          <w:p w:rsidR="00C9657F" w:rsidRDefault="00AC704B" w:rsidP="00485EBE">
            <w:pPr>
              <w:ind w:left="-8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 Республикасы Қаржы министрлігі Мемлекеттік кірістер комитетінің Қарағанды облысы бойынша Мемлекеттік кірістер департаментінің </w:t>
            </w:r>
          </w:p>
          <w:p w:rsidR="00AC704B" w:rsidRPr="00AC704B" w:rsidRDefault="00AC704B" w:rsidP="00485EBE">
            <w:pPr>
              <w:ind w:left="-8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ҚҰРЫЛЫМЫ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орынбасары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құпияларды  қорғау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 және тәуекелдер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тәуекелдер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кірістерді талдау бөлімі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әкімшілендірудің тиімділігін талдау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Заң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 ресурстары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персоналмен жұмыс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қызметтік тергеу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Ұйымдастыру-қаржы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бухгалтерлік есеп және мемлекеттік сатып алу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№ 1 аудит бөлімі                     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№ 2 аудит бөлімі                     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№ 3 аудит бөлімі                     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актілерінің бақылау басқармасы 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 1 с</w:t>
            </w: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актілерінің бақылау бөлімі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 2 с</w:t>
            </w: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актілерінің бақылау бөлімі 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бақылау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бақылау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камералдық бақылау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бақылау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қызмет көрсетулер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көрсетулер сапасын бақылау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және дербес шоттар жүргізу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Жанама салықтарды әкімшілендіру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әкімшілендіру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акциздерді әкімшілендіру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Борыштармен жұмыс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өндіріп алу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заңнамасын түсіндіру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заңнамасын түсіндіру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</w:t>
            </w:r>
            <w:proofErr w:type="spellEnd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бақылау</w:t>
            </w:r>
            <w:proofErr w:type="spellEnd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басқармасы</w:t>
            </w:r>
            <w:proofErr w:type="spellEnd"/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Кедендік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жеткізуді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Тарифтік</w:t>
            </w:r>
            <w:proofErr w:type="spellEnd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реттеу</w:t>
            </w:r>
            <w:proofErr w:type="spellEnd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басқармасы</w:t>
            </w:r>
            <w:proofErr w:type="spellEnd"/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Кедендік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құн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жіктемесі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Посткедендік</w:t>
            </w:r>
            <w:proofErr w:type="spellEnd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>бақылау</w:t>
            </w:r>
            <w:proofErr w:type="spellEnd"/>
            <w:r w:rsidRPr="00AC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Камералдық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кедендік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тексерулер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Көшпелі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кедендік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тексерулер</w:t>
            </w:r>
            <w:proofErr w:type="spellEnd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</w:p>
          <w:p w:rsidR="00AC704B" w:rsidRPr="00AC704B" w:rsidRDefault="00AC704B" w:rsidP="00485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Экспорттық бақылау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қауіпсіздік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тергеу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жұмысты ұйымдастыру бөлімі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  <w:shd w:val="clear" w:color="000000" w:fill="FFFFFF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Қаржы саласындағы құқық бұзушылықтарды тергеу басқармасы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1-қылмыстарды тергеу бөлімі 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2-қылмыстарды тергеу бөлімі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бақылау-әдістемелік бөлім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криминалистикалық бөлім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Профилактикалық жұмыс және бақылау басқармасы</w:t>
            </w:r>
          </w:p>
        </w:tc>
      </w:tr>
      <w:tr w:rsidR="00AC704B" w:rsidRPr="007D5A1A" w:rsidTr="00485EBE">
        <w:tblPrEx>
          <w:tblLook w:val="00A0" w:firstRow="1" w:lastRow="0" w:firstColumn="1" w:lastColumn="0" w:noHBand="0" w:noVBand="0"/>
        </w:tblPrEx>
        <w:trPr>
          <w:trHeight w:val="1512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Жедел-іздестіру қызметі басқармасы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көлеңкелі экономикаға қарсы іс-қимыл бөлімі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 және қаржы қылмыстарды ашу жөніндегі бөлім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заңсыз ұйымдарды қаржыландыруға қарсы іс-қимыл бөлімі</w:t>
            </w:r>
          </w:p>
          <w:p w:rsidR="00AC704B" w:rsidRPr="00AC704B" w:rsidRDefault="00AC704B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іздестіру, жедел есептілік және арнайы іс-шаралар бөлімі</w:t>
            </w:r>
          </w:p>
        </w:tc>
      </w:tr>
      <w:tr w:rsidR="00AC704B" w:rsidRPr="007D5A1A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«Қарағанды-кедендік ресімдеу орталығы» кеден бекеті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«Сарыарқа» Арнайы экономикалық аймағы» кеден бекеті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40" w:type="dxa"/>
            <w:gridSpan w:val="2"/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«Әуежай-Қарағанды» кеден бекеті</w:t>
            </w:r>
          </w:p>
        </w:tc>
      </w:tr>
      <w:tr w:rsidR="00AC704B" w:rsidRPr="00AC704B" w:rsidTr="00485EBE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C704B" w:rsidRPr="00AC704B" w:rsidRDefault="00AC704B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gridSpan w:val="2"/>
            <w:tcBorders>
              <w:bottom w:val="single" w:sz="4" w:space="0" w:color="auto"/>
            </w:tcBorders>
          </w:tcPr>
          <w:p w:rsidR="00AC704B" w:rsidRPr="00AC704B" w:rsidRDefault="00AC704B" w:rsidP="0048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«Теміртау» кеден бекеті</w:t>
            </w:r>
          </w:p>
        </w:tc>
      </w:tr>
    </w:tbl>
    <w:p w:rsidR="00B21D7B" w:rsidRDefault="00A47734">
      <w:pPr>
        <w:rPr>
          <w:rFonts w:ascii="Times New Roman" w:hAnsi="Times New Roman" w:cs="Times New Roman"/>
          <w:sz w:val="24"/>
          <w:szCs w:val="24"/>
        </w:rPr>
      </w:pPr>
    </w:p>
    <w:p w:rsidR="00C9657F" w:rsidRDefault="00C9657F">
      <w:pPr>
        <w:rPr>
          <w:rFonts w:ascii="Times New Roman" w:hAnsi="Times New Roman" w:cs="Times New Roman"/>
          <w:sz w:val="24"/>
          <w:szCs w:val="24"/>
        </w:rPr>
      </w:pPr>
    </w:p>
    <w:p w:rsidR="00C9657F" w:rsidRPr="00C9657F" w:rsidRDefault="00C9657F" w:rsidP="00C9657F">
      <w:pPr>
        <w:pStyle w:val="a3"/>
        <w:ind w:left="225"/>
        <w:jc w:val="center"/>
        <w:rPr>
          <w:b/>
          <w:sz w:val="24"/>
          <w:szCs w:val="24"/>
        </w:rPr>
      </w:pPr>
      <w:r w:rsidRPr="00C9657F">
        <w:rPr>
          <w:b/>
          <w:sz w:val="24"/>
          <w:szCs w:val="24"/>
        </w:rPr>
        <w:t>СТРУКТУРА</w:t>
      </w:r>
    </w:p>
    <w:p w:rsidR="00C9657F" w:rsidRPr="00C9657F" w:rsidRDefault="00C9657F" w:rsidP="00C9657F">
      <w:pPr>
        <w:pStyle w:val="a3"/>
        <w:ind w:left="225"/>
        <w:jc w:val="center"/>
        <w:rPr>
          <w:b/>
          <w:sz w:val="24"/>
          <w:szCs w:val="24"/>
        </w:rPr>
      </w:pPr>
      <w:r w:rsidRPr="00C9657F">
        <w:rPr>
          <w:b/>
          <w:sz w:val="24"/>
          <w:szCs w:val="24"/>
          <w:lang w:val="kk-KZ"/>
        </w:rPr>
        <w:t>Д</w:t>
      </w:r>
      <w:proofErr w:type="spellStart"/>
      <w:r w:rsidRPr="00C9657F">
        <w:rPr>
          <w:b/>
          <w:sz w:val="24"/>
          <w:szCs w:val="24"/>
        </w:rPr>
        <w:t>епартамента</w:t>
      </w:r>
      <w:proofErr w:type="spellEnd"/>
      <w:r w:rsidRPr="00C9657F">
        <w:rPr>
          <w:b/>
          <w:sz w:val="24"/>
          <w:szCs w:val="24"/>
        </w:rPr>
        <w:t xml:space="preserve"> </w:t>
      </w:r>
      <w:r w:rsidRPr="00C9657F">
        <w:rPr>
          <w:b/>
          <w:sz w:val="24"/>
          <w:szCs w:val="24"/>
          <w:lang w:val="kk-KZ"/>
        </w:rPr>
        <w:t xml:space="preserve">государственных доходов </w:t>
      </w:r>
      <w:r w:rsidRPr="00C9657F">
        <w:rPr>
          <w:b/>
          <w:sz w:val="24"/>
          <w:szCs w:val="24"/>
        </w:rPr>
        <w:t>по Карагандинской области</w:t>
      </w:r>
    </w:p>
    <w:p w:rsidR="00C9657F" w:rsidRPr="00C9657F" w:rsidRDefault="00C9657F" w:rsidP="00C9657F">
      <w:pPr>
        <w:pStyle w:val="a3"/>
        <w:ind w:left="225"/>
        <w:jc w:val="center"/>
        <w:rPr>
          <w:b/>
          <w:sz w:val="24"/>
          <w:szCs w:val="24"/>
        </w:rPr>
      </w:pPr>
      <w:r w:rsidRPr="00C9657F">
        <w:rPr>
          <w:b/>
          <w:sz w:val="24"/>
          <w:szCs w:val="24"/>
        </w:rPr>
        <w:t>Комитета государственных доходов Министерства финансов</w:t>
      </w:r>
    </w:p>
    <w:p w:rsidR="00C9657F" w:rsidRPr="00C9657F" w:rsidRDefault="00C9657F" w:rsidP="00C9657F">
      <w:pPr>
        <w:pStyle w:val="a3"/>
        <w:ind w:left="225"/>
        <w:jc w:val="center"/>
        <w:rPr>
          <w:b/>
          <w:sz w:val="24"/>
          <w:szCs w:val="24"/>
        </w:rPr>
      </w:pPr>
      <w:r w:rsidRPr="00C9657F">
        <w:rPr>
          <w:b/>
          <w:sz w:val="24"/>
          <w:szCs w:val="24"/>
        </w:rPr>
        <w:t>Республики Казахстан</w:t>
      </w:r>
    </w:p>
    <w:p w:rsidR="00C9657F" w:rsidRPr="00C9657F" w:rsidRDefault="00C9657F" w:rsidP="00C9657F">
      <w:pPr>
        <w:rPr>
          <w:rFonts w:ascii="Times New Roman" w:hAnsi="Times New Roman" w:cs="Times New Roman"/>
          <w:sz w:val="24"/>
          <w:szCs w:val="24"/>
        </w:rPr>
      </w:pPr>
    </w:p>
    <w:p w:rsidR="00C9657F" w:rsidRPr="00C9657F" w:rsidRDefault="00C9657F" w:rsidP="00C96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0" w:type="dxa"/>
        <w:tblInd w:w="95" w:type="dxa"/>
        <w:tblLook w:val="04A0" w:firstRow="1" w:lastRow="0" w:firstColumn="1" w:lastColumn="0" w:noHBand="0" w:noVBand="1"/>
      </w:tblPr>
      <w:tblGrid>
        <w:gridCol w:w="840"/>
        <w:gridCol w:w="8860"/>
      </w:tblGrid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защите государственных секретов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анализа и рисков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рисков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анализа государственных доходов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анализа эффективности налогового администрирования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 управление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человеческих ресурсов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служебных расследований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Организационно-финансовое управление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государственных закупок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организационный  отдел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информационных технологий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аудита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 аудита №1    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 аудита №2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аудита № 3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контроля налоговых актов 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контроля налоговых актов </w:t>
            </w: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налоговых актов № 2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камерального контроля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камерального контроля № 1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№ 2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камерального контроля № 3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государственных услуг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контроля качества государственных услуг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учета и ведения лицевых счетов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непроизводственных платежей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администрирования косвенных налогов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администрирования НДС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администрирования акцизов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работе с задолженностью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принудительного взыскания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реабилитации и банкротства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разъяснительной работы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разъяснения налогового законодательства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разъяснения таможенного законодательства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таможенного контроля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таможенного контроля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доставки товаров 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тарифного регулирования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таможенной стоимости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классификации товаров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пост-таможенного контроля</w:t>
            </w: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камеральных таможенных проверок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выездных таможенных проверок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экспортного контроля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внутренней безопасности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внутренних расследований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отдел организации оперативной работы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расследования правонарушений в финансовой сфере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</w:t>
            </w: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 </w:t>
            </w:r>
            <w:proofErr w:type="spellStart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расследовани</w:t>
            </w:r>
            <w:proofErr w:type="spellEnd"/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 преступлений</w:t>
            </w: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2-о</w:t>
            </w:r>
            <w:proofErr w:type="spellStart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proofErr w:type="spellEnd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расследованию преступлений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онтрольно</w:t>
            </w:r>
            <w:proofErr w:type="spellEnd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-методический отдел 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криминалистический отдел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профилактической работы и контроля</w:t>
            </w:r>
          </w:p>
        </w:tc>
      </w:tr>
      <w:tr w:rsidR="00C9657F" w:rsidRPr="00C9657F" w:rsidTr="00485EBE">
        <w:trPr>
          <w:trHeight w:val="1232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оперативно-розыскной деятельности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proofErr w:type="spellEnd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теневой экономике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proofErr w:type="spellEnd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раскрытию налоговых и финансовых преступлений</w:t>
            </w:r>
          </w:p>
          <w:p w:rsidR="00C9657F" w:rsidRPr="00C9657F" w:rsidRDefault="00C9657F" w:rsidP="00485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proofErr w:type="spellEnd"/>
            <w:r w:rsidRPr="00C9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розыска, оперативного учета и специальных мероприятий </w:t>
            </w:r>
          </w:p>
          <w:p w:rsidR="00C9657F" w:rsidRPr="00C9657F" w:rsidRDefault="00C9657F" w:rsidP="00485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противодействию финансирования незаконных организации</w:t>
            </w:r>
          </w:p>
        </w:tc>
      </w:tr>
      <w:tr w:rsidR="00C9657F" w:rsidRPr="00C9657F" w:rsidTr="00485EBE">
        <w:trPr>
          <w:trHeight w:val="41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Таможенный пост «Караганда-центр таможенного оформления»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Таможенный пост «Специальная экономическая зона «</w:t>
            </w:r>
            <w:proofErr w:type="spellStart"/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Сарыарка</w:t>
            </w:r>
            <w:proofErr w:type="spellEnd"/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Таможенный пост «</w:t>
            </w:r>
            <w:proofErr w:type="spellStart"/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Ауежай</w:t>
            </w:r>
            <w:proofErr w:type="spellEnd"/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-Караганда»</w:t>
            </w:r>
          </w:p>
        </w:tc>
      </w:tr>
      <w:tr w:rsidR="00C9657F" w:rsidRPr="00C9657F" w:rsidTr="00485EBE">
        <w:trPr>
          <w:trHeight w:val="375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7F" w:rsidRPr="00C9657F" w:rsidRDefault="00C9657F" w:rsidP="00485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657F" w:rsidRPr="00C9657F" w:rsidRDefault="00C9657F" w:rsidP="0048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Таможенный пост «Темиртау»</w:t>
            </w:r>
          </w:p>
        </w:tc>
      </w:tr>
    </w:tbl>
    <w:p w:rsidR="00C9657F" w:rsidRPr="00C9657F" w:rsidRDefault="00C9657F">
      <w:pPr>
        <w:rPr>
          <w:rFonts w:ascii="Times New Roman" w:hAnsi="Times New Roman" w:cs="Times New Roman"/>
          <w:sz w:val="24"/>
          <w:szCs w:val="24"/>
        </w:rPr>
      </w:pPr>
    </w:p>
    <w:sectPr w:rsidR="00C9657F" w:rsidRPr="00C965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34" w:rsidRDefault="00A47734" w:rsidP="00E234EA">
      <w:pPr>
        <w:spacing w:after="0" w:line="240" w:lineRule="auto"/>
      </w:pPr>
      <w:r>
        <w:separator/>
      </w:r>
    </w:p>
  </w:endnote>
  <w:endnote w:type="continuationSeparator" w:id="0">
    <w:p w:rsidR="00A47734" w:rsidRDefault="00A47734" w:rsidP="00E2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34" w:rsidRDefault="00A47734" w:rsidP="00E234EA">
      <w:pPr>
        <w:spacing w:after="0" w:line="240" w:lineRule="auto"/>
      </w:pPr>
      <w:r>
        <w:separator/>
      </w:r>
    </w:p>
  </w:footnote>
  <w:footnote w:type="continuationSeparator" w:id="0">
    <w:p w:rsidR="00A47734" w:rsidRDefault="00A47734" w:rsidP="00E2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EA" w:rsidRDefault="00E234E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34EA" w:rsidRPr="00E234EA" w:rsidRDefault="00E234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01.10.2018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234EA" w:rsidRPr="00E234EA" w:rsidRDefault="00E234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01.10.2018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4B"/>
    <w:rsid w:val="000863E1"/>
    <w:rsid w:val="007D5A1A"/>
    <w:rsid w:val="00867EEE"/>
    <w:rsid w:val="00A47734"/>
    <w:rsid w:val="00AC704B"/>
    <w:rsid w:val="00C9657F"/>
    <w:rsid w:val="00E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0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7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EA"/>
  </w:style>
  <w:style w:type="paragraph" w:styleId="a7">
    <w:name w:val="footer"/>
    <w:basedOn w:val="a"/>
    <w:link w:val="a8"/>
    <w:uiPriority w:val="99"/>
    <w:unhideWhenUsed/>
    <w:rsid w:val="00E2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0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7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EA"/>
  </w:style>
  <w:style w:type="paragraph" w:styleId="a7">
    <w:name w:val="footer"/>
    <w:basedOn w:val="a"/>
    <w:link w:val="a8"/>
    <w:uiPriority w:val="99"/>
    <w:unhideWhenUsed/>
    <w:rsid w:val="00E2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Капарова Дина Шапагатовна</dc:creator>
  <cp:lastModifiedBy>КЮР</cp:lastModifiedBy>
  <cp:revision>2</cp:revision>
  <dcterms:created xsi:type="dcterms:W3CDTF">2018-10-01T07:04:00Z</dcterms:created>
  <dcterms:modified xsi:type="dcterms:W3CDTF">2018-10-01T07:04:00Z</dcterms:modified>
</cp:coreProperties>
</file>